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0C0CC">
      <w:pPr>
        <w:jc w:val="center"/>
        <w:rPr>
          <w:rFonts w:hint="eastAsia"/>
          <w:b/>
          <w:bCs/>
          <w:color w:val="auto"/>
          <w:sz w:val="24"/>
          <w:szCs w:val="32"/>
          <w:highlight w:val="none"/>
        </w:rPr>
      </w:pPr>
      <w:r>
        <w:rPr>
          <w:rFonts w:hint="eastAsia"/>
          <w:b/>
          <w:bCs/>
          <w:color w:val="auto"/>
          <w:sz w:val="24"/>
          <w:szCs w:val="32"/>
          <w:highlight w:val="none"/>
        </w:rPr>
        <w:t>广西翰林工程项目管理有限责任公司关于</w:t>
      </w:r>
      <w:r>
        <w:rPr>
          <w:rFonts w:hint="eastAsia"/>
          <w:b/>
          <w:bCs/>
          <w:color w:val="auto"/>
          <w:sz w:val="24"/>
          <w:szCs w:val="32"/>
          <w:highlight w:val="none"/>
          <w:lang w:eastAsia="zh-CN"/>
        </w:rPr>
        <w:t>广西国控林业投资股份有限公司2026年度中央财政森林修复（森林可持续经营）项目施工服务</w:t>
      </w:r>
      <w:r>
        <w:rPr>
          <w:rFonts w:hint="eastAsia"/>
          <w:b/>
          <w:bCs/>
          <w:color w:val="auto"/>
          <w:sz w:val="24"/>
          <w:szCs w:val="32"/>
          <w:highlight w:val="none"/>
        </w:rPr>
        <w:t>(项目编号：</w:t>
      </w:r>
      <w:r>
        <w:rPr>
          <w:rFonts w:hint="eastAsia"/>
          <w:b/>
          <w:bCs/>
          <w:color w:val="auto"/>
          <w:sz w:val="24"/>
          <w:szCs w:val="32"/>
          <w:highlight w:val="none"/>
          <w:lang w:eastAsia="zh-CN"/>
        </w:rPr>
        <w:t>GXHL-G3-2026017</w:t>
      </w:r>
      <w:r>
        <w:rPr>
          <w:rFonts w:hint="eastAsia"/>
          <w:b/>
          <w:bCs/>
          <w:color w:val="auto"/>
          <w:sz w:val="24"/>
          <w:szCs w:val="32"/>
          <w:highlight w:val="none"/>
        </w:rPr>
        <w:t> )的更正公告（一）</w:t>
      </w:r>
    </w:p>
    <w:p w14:paraId="6479552A">
      <w:pPr>
        <w:jc w:val="center"/>
        <w:rPr>
          <w:rFonts w:hint="eastAsia"/>
          <w:b/>
          <w:bCs/>
          <w:color w:val="auto"/>
          <w:highlight w:val="none"/>
        </w:rPr>
      </w:pPr>
    </w:p>
    <w:p w14:paraId="29374A65">
      <w:pPr>
        <w:spacing w:line="360" w:lineRule="auto"/>
        <w:rPr>
          <w:rFonts w:hint="eastAsia"/>
          <w:color w:val="auto"/>
          <w:highlight w:val="none"/>
        </w:rPr>
      </w:pPr>
      <w:r>
        <w:rPr>
          <w:rFonts w:hint="eastAsia"/>
          <w:b/>
          <w:bCs/>
          <w:color w:val="auto"/>
          <w:highlight w:val="none"/>
        </w:rPr>
        <w:t xml:space="preserve">一、项目基本情况   </w:t>
      </w:r>
      <w:r>
        <w:rPr>
          <w:rFonts w:hint="eastAsia"/>
          <w:color w:val="auto"/>
          <w:highlight w:val="none"/>
        </w:rPr>
        <w:t>             </w:t>
      </w:r>
      <w:bookmarkStart w:id="13" w:name="_GoBack"/>
      <w:bookmarkEnd w:id="13"/>
    </w:p>
    <w:p w14:paraId="1B2D7F25">
      <w:pPr>
        <w:spacing w:line="360" w:lineRule="auto"/>
        <w:rPr>
          <w:rFonts w:hint="eastAsia"/>
          <w:color w:val="auto"/>
          <w:highlight w:val="none"/>
        </w:rPr>
      </w:pPr>
      <w:r>
        <w:rPr>
          <w:rFonts w:hint="eastAsia"/>
          <w:color w:val="auto"/>
          <w:highlight w:val="none"/>
        </w:rPr>
        <w:t>原公告的</w:t>
      </w:r>
      <w:r>
        <w:rPr>
          <w:rFonts w:hint="eastAsia"/>
          <w:color w:val="auto"/>
          <w:highlight w:val="none"/>
          <w:lang w:eastAsia="zh-CN"/>
        </w:rPr>
        <w:t>招标</w:t>
      </w:r>
      <w:r>
        <w:rPr>
          <w:rFonts w:hint="eastAsia"/>
          <w:color w:val="auto"/>
          <w:highlight w:val="none"/>
        </w:rPr>
        <w:t>项目编号</w:t>
      </w:r>
      <w:r>
        <w:rPr>
          <w:rFonts w:hint="eastAsia"/>
          <w:color w:val="auto"/>
          <w:highlight w:val="none"/>
          <w:lang w:eastAsia="zh-CN"/>
        </w:rPr>
        <w:t>：GXHL-G3-2026017</w:t>
      </w:r>
      <w:r>
        <w:rPr>
          <w:rFonts w:hint="eastAsia"/>
          <w:color w:val="auto"/>
          <w:highlight w:val="none"/>
        </w:rPr>
        <w:t>                 </w:t>
      </w:r>
    </w:p>
    <w:p w14:paraId="1C7716B4">
      <w:pPr>
        <w:spacing w:line="360" w:lineRule="auto"/>
        <w:rPr>
          <w:rFonts w:hint="eastAsia"/>
          <w:color w:val="auto"/>
          <w:highlight w:val="none"/>
        </w:rPr>
      </w:pPr>
      <w:r>
        <w:rPr>
          <w:rFonts w:hint="eastAsia"/>
          <w:color w:val="auto"/>
          <w:highlight w:val="none"/>
        </w:rPr>
        <w:t>原公告的</w:t>
      </w:r>
      <w:r>
        <w:rPr>
          <w:rFonts w:hint="eastAsia"/>
          <w:color w:val="auto"/>
          <w:highlight w:val="none"/>
          <w:lang w:eastAsia="zh-CN"/>
        </w:rPr>
        <w:t>招标</w:t>
      </w:r>
      <w:r>
        <w:rPr>
          <w:rFonts w:hint="eastAsia"/>
          <w:color w:val="auto"/>
          <w:highlight w:val="none"/>
        </w:rPr>
        <w:t>项目名称：</w:t>
      </w:r>
      <w:r>
        <w:rPr>
          <w:rFonts w:hint="eastAsia"/>
          <w:color w:val="auto"/>
          <w:highlight w:val="none"/>
          <w:lang w:eastAsia="zh-CN"/>
        </w:rPr>
        <w:t>广西国控林业投资股份有限公司2026年度中央财政森林修复（森林可持续经营）项目施工服务</w:t>
      </w:r>
      <w:r>
        <w:rPr>
          <w:rFonts w:hint="eastAsia"/>
          <w:color w:val="auto"/>
          <w:highlight w:val="none"/>
        </w:rPr>
        <w:t xml:space="preserve">                  </w:t>
      </w:r>
    </w:p>
    <w:p w14:paraId="2C364A01">
      <w:pPr>
        <w:spacing w:line="360" w:lineRule="auto"/>
        <w:rPr>
          <w:rFonts w:hint="eastAsia"/>
          <w:color w:val="auto"/>
          <w:highlight w:val="none"/>
        </w:rPr>
      </w:pPr>
      <w:r>
        <w:rPr>
          <w:rFonts w:hint="eastAsia"/>
          <w:color w:val="auto"/>
          <w:highlight w:val="none"/>
        </w:rPr>
        <w:t>首次公告日期：2026</w:t>
      </w:r>
      <w:r>
        <w:rPr>
          <w:rFonts w:hint="eastAsia"/>
          <w:color w:val="auto"/>
          <w:highlight w:val="none"/>
          <w:lang w:eastAsia="zh-CN"/>
        </w:rPr>
        <w:t>年</w:t>
      </w:r>
      <w:r>
        <w:rPr>
          <w:rFonts w:hint="eastAsia"/>
          <w:color w:val="auto"/>
          <w:highlight w:val="none"/>
          <w:lang w:val="en-US" w:eastAsia="zh-CN"/>
        </w:rPr>
        <w:t>9</w:t>
      </w:r>
      <w:r>
        <w:rPr>
          <w:rFonts w:hint="eastAsia"/>
          <w:color w:val="auto"/>
          <w:highlight w:val="none"/>
          <w:lang w:eastAsia="zh-CN"/>
        </w:rPr>
        <w:t>月</w:t>
      </w:r>
      <w:r>
        <w:rPr>
          <w:rFonts w:hint="eastAsia"/>
          <w:color w:val="auto"/>
          <w:highlight w:val="none"/>
          <w:lang w:val="en-US" w:eastAsia="zh-CN"/>
        </w:rPr>
        <w:t>28</w:t>
      </w:r>
      <w:r>
        <w:rPr>
          <w:rFonts w:hint="eastAsia"/>
          <w:color w:val="auto"/>
          <w:highlight w:val="none"/>
        </w:rPr>
        <w:t xml:space="preserve"> </w:t>
      </w:r>
      <w:r>
        <w:rPr>
          <w:rFonts w:hint="eastAsia"/>
          <w:color w:val="auto"/>
          <w:highlight w:val="none"/>
          <w:lang w:eastAsia="zh-CN"/>
        </w:rPr>
        <w:t>日</w:t>
      </w:r>
      <w:r>
        <w:rPr>
          <w:rFonts w:hint="eastAsia"/>
          <w:color w:val="auto"/>
          <w:highlight w:val="none"/>
        </w:rPr>
        <w:t xml:space="preserve">                    </w:t>
      </w:r>
    </w:p>
    <w:p w14:paraId="4B5DA3A1">
      <w:pPr>
        <w:spacing w:line="360" w:lineRule="auto"/>
        <w:rPr>
          <w:rFonts w:hint="eastAsia"/>
          <w:color w:val="auto"/>
          <w:highlight w:val="none"/>
        </w:rPr>
      </w:pPr>
      <w:r>
        <w:rPr>
          <w:rFonts w:hint="eastAsia"/>
          <w:b/>
          <w:bCs/>
          <w:color w:val="auto"/>
          <w:highlight w:val="none"/>
        </w:rPr>
        <w:t xml:space="preserve">二、更正信息   </w:t>
      </w:r>
      <w:r>
        <w:rPr>
          <w:rFonts w:hint="eastAsia"/>
          <w:color w:val="auto"/>
          <w:highlight w:val="none"/>
        </w:rPr>
        <w:t>             </w:t>
      </w:r>
    </w:p>
    <w:p w14:paraId="4F7D3D2B">
      <w:pPr>
        <w:spacing w:line="360" w:lineRule="auto"/>
        <w:rPr>
          <w:rFonts w:hint="eastAsia"/>
          <w:color w:val="auto"/>
          <w:highlight w:val="none"/>
        </w:rPr>
      </w:pPr>
      <w:r>
        <w:rPr>
          <w:rFonts w:hint="eastAsia"/>
          <w:color w:val="auto"/>
          <w:highlight w:val="none"/>
        </w:rPr>
        <w:t>更正事项：更正</w:t>
      </w:r>
      <w:r>
        <w:rPr>
          <w:rFonts w:hint="eastAsia"/>
          <w:color w:val="auto"/>
          <w:highlight w:val="none"/>
          <w:lang w:eastAsia="zh-CN"/>
        </w:rPr>
        <w:t>招标文件</w:t>
      </w:r>
      <w:r>
        <w:rPr>
          <w:rFonts w:hint="eastAsia"/>
          <w:color w:val="auto"/>
          <w:highlight w:val="none"/>
        </w:rPr>
        <w:t>               </w:t>
      </w:r>
    </w:p>
    <w:p w14:paraId="72CA707D">
      <w:pPr>
        <w:spacing w:line="360" w:lineRule="auto"/>
        <w:rPr>
          <w:rFonts w:hint="eastAsia"/>
          <w:color w:val="auto"/>
          <w:highlight w:val="none"/>
        </w:rPr>
      </w:pPr>
      <w:r>
        <w:rPr>
          <w:rFonts w:hint="eastAsia"/>
          <w:color w:val="auto"/>
          <w:highlight w:val="none"/>
        </w:rPr>
        <w:t>更正内容：</w:t>
      </w:r>
    </w:p>
    <w:p w14:paraId="63399368">
      <w:pPr>
        <w:spacing w:line="360" w:lineRule="auto"/>
        <w:rPr>
          <w:rFonts w:hint="eastAsia"/>
          <w:color w:val="auto"/>
          <w:highlight w:val="none"/>
        </w:rPr>
      </w:pPr>
    </w:p>
    <w:tbl>
      <w:tblPr>
        <w:tblStyle w:val="9"/>
        <w:tblW w:w="89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0"/>
        <w:gridCol w:w="1725"/>
        <w:gridCol w:w="3177"/>
        <w:gridCol w:w="3397"/>
      </w:tblGrid>
      <w:tr w14:paraId="3BD61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86C90E1">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EBCA30C">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cs="宋体"/>
                <w:b/>
                <w:bCs/>
                <w:color w:val="auto"/>
                <w:szCs w:val="21"/>
                <w:highlight w:val="none"/>
              </w:rPr>
            </w:pPr>
            <w:r>
              <w:rPr>
                <w:rFonts w:hint="eastAsia"/>
                <w:b/>
                <w:bCs/>
                <w:color w:val="auto"/>
                <w:highlight w:val="none"/>
              </w:rPr>
              <w:t>更正项</w:t>
            </w:r>
          </w:p>
        </w:tc>
        <w:tc>
          <w:tcPr>
            <w:tcW w:w="3177" w:type="dxa"/>
            <w:tcBorders>
              <w:top w:val="single" w:color="auto" w:sz="4" w:space="0"/>
              <w:left w:val="single" w:color="auto" w:sz="4" w:space="0"/>
              <w:bottom w:val="single" w:color="auto" w:sz="4" w:space="0"/>
              <w:right w:val="single" w:color="auto" w:sz="4" w:space="0"/>
            </w:tcBorders>
            <w:noWrap w:val="0"/>
            <w:vAlign w:val="center"/>
          </w:tcPr>
          <w:p w14:paraId="2EB759D7">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cs="宋体"/>
                <w:b/>
                <w:bCs/>
                <w:color w:val="auto"/>
                <w:szCs w:val="21"/>
                <w:highlight w:val="none"/>
              </w:rPr>
            </w:pPr>
            <w:r>
              <w:rPr>
                <w:rFonts w:hint="eastAsia"/>
                <w:b/>
                <w:bCs/>
                <w:color w:val="auto"/>
                <w:highlight w:val="none"/>
              </w:rPr>
              <w:t>更正前内容</w:t>
            </w:r>
          </w:p>
        </w:tc>
        <w:tc>
          <w:tcPr>
            <w:tcW w:w="3397" w:type="dxa"/>
            <w:tcBorders>
              <w:top w:val="single" w:color="auto" w:sz="4" w:space="0"/>
              <w:left w:val="single" w:color="auto" w:sz="4" w:space="0"/>
              <w:bottom w:val="single" w:color="auto" w:sz="4" w:space="0"/>
              <w:right w:val="single" w:color="auto" w:sz="4" w:space="0"/>
            </w:tcBorders>
            <w:noWrap w:val="0"/>
            <w:vAlign w:val="center"/>
          </w:tcPr>
          <w:p w14:paraId="21022F4B">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cs="宋体"/>
                <w:b/>
                <w:bCs/>
                <w:color w:val="auto"/>
                <w:szCs w:val="21"/>
                <w:highlight w:val="none"/>
              </w:rPr>
            </w:pPr>
            <w:r>
              <w:rPr>
                <w:rFonts w:hint="eastAsia"/>
                <w:b/>
                <w:bCs/>
                <w:color w:val="auto"/>
                <w:highlight w:val="none"/>
              </w:rPr>
              <w:t>更正后内容</w:t>
            </w:r>
          </w:p>
        </w:tc>
      </w:tr>
      <w:tr w14:paraId="18ADC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40CB839">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2CF62AC">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第二章</w:t>
            </w:r>
            <w:r>
              <w:rPr>
                <w:rFonts w:hint="eastAsia" w:ascii="宋体" w:hAnsi="宋体" w:cs="宋体"/>
                <w:color w:val="auto"/>
                <w:szCs w:val="21"/>
                <w:highlight w:val="none"/>
              </w:rPr>
              <w:t>采购需求</w:t>
            </w:r>
          </w:p>
        </w:tc>
        <w:tc>
          <w:tcPr>
            <w:tcW w:w="3177" w:type="dxa"/>
            <w:tcBorders>
              <w:top w:val="single" w:color="auto" w:sz="4" w:space="0"/>
              <w:left w:val="single" w:color="auto" w:sz="4" w:space="0"/>
              <w:bottom w:val="single" w:color="auto" w:sz="4" w:space="0"/>
              <w:right w:val="single" w:color="auto" w:sz="4" w:space="0"/>
            </w:tcBorders>
            <w:noWrap w:val="0"/>
            <w:vAlign w:val="center"/>
          </w:tcPr>
          <w:p w14:paraId="4849220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lang w:val="en-US" w:eastAsia="zh-CN"/>
              </w:rPr>
              <w:t>详见附件一</w:t>
            </w:r>
          </w:p>
        </w:tc>
        <w:tc>
          <w:tcPr>
            <w:tcW w:w="3397" w:type="dxa"/>
            <w:tcBorders>
              <w:top w:val="single" w:color="auto" w:sz="4" w:space="0"/>
              <w:left w:val="single" w:color="auto" w:sz="4" w:space="0"/>
              <w:bottom w:val="single" w:color="auto" w:sz="4" w:space="0"/>
              <w:right w:val="single" w:color="auto" w:sz="4" w:space="0"/>
            </w:tcBorders>
            <w:noWrap w:val="0"/>
            <w:vAlign w:val="center"/>
          </w:tcPr>
          <w:p w14:paraId="36DD01CC">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lang w:val="en-US" w:eastAsia="zh-CN"/>
              </w:rPr>
              <w:t xml:space="preserve"> 详见附件二</w:t>
            </w:r>
          </w:p>
        </w:tc>
      </w:tr>
      <w:tr w14:paraId="798C9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33C0FE2">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2</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360012D">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eastAsia="zh-CN"/>
              </w:rPr>
            </w:pPr>
            <w:bookmarkStart w:id="0" w:name="_Toc23393"/>
            <w:r>
              <w:rPr>
                <w:rFonts w:hint="eastAsia" w:ascii="宋体" w:hAnsi="宋体" w:cs="宋体"/>
                <w:color w:val="auto"/>
                <w:szCs w:val="21"/>
                <w:highlight w:val="none"/>
                <w:lang w:eastAsia="zh-CN"/>
              </w:rPr>
              <w:t>第五章拟签订的合同文本</w:t>
            </w:r>
            <w:bookmarkEnd w:id="0"/>
          </w:p>
        </w:tc>
        <w:tc>
          <w:tcPr>
            <w:tcW w:w="3177" w:type="dxa"/>
            <w:tcBorders>
              <w:top w:val="single" w:color="auto" w:sz="4" w:space="0"/>
              <w:left w:val="single" w:color="auto" w:sz="4" w:space="0"/>
              <w:bottom w:val="single" w:color="auto" w:sz="4" w:space="0"/>
              <w:right w:val="single" w:color="auto" w:sz="4" w:space="0"/>
            </w:tcBorders>
            <w:noWrap w:val="0"/>
            <w:vAlign w:val="center"/>
          </w:tcPr>
          <w:p w14:paraId="371E173B">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第三条  工程款支付方式</w:t>
            </w:r>
          </w:p>
          <w:p w14:paraId="341379F2">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历年林工程：单个工序经验收合格后，按核定面积进行一次性结算，不支付工程进度款。</w:t>
            </w:r>
          </w:p>
          <w:p w14:paraId="1A8D43E8">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新造林工程：按本条约定的方式支付工程进度款及办理竣工结算。新造林工程进度款支付</w:t>
            </w:r>
          </w:p>
        </w:tc>
        <w:tc>
          <w:tcPr>
            <w:tcW w:w="3397" w:type="dxa"/>
            <w:tcBorders>
              <w:top w:val="single" w:color="auto" w:sz="4" w:space="0"/>
              <w:left w:val="single" w:color="auto" w:sz="4" w:space="0"/>
              <w:bottom w:val="single" w:color="auto" w:sz="4" w:space="0"/>
              <w:right w:val="single" w:color="auto" w:sz="4" w:space="0"/>
            </w:tcBorders>
            <w:noWrap w:val="0"/>
            <w:vAlign w:val="center"/>
          </w:tcPr>
          <w:p w14:paraId="1563F24D">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删除</w:t>
            </w:r>
          </w:p>
        </w:tc>
      </w:tr>
      <w:tr w14:paraId="1FB6D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36"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7FCD89AB">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D541C90">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第五章拟签订的合同文本</w:t>
            </w:r>
          </w:p>
        </w:tc>
        <w:tc>
          <w:tcPr>
            <w:tcW w:w="3177" w:type="dxa"/>
            <w:tcBorders>
              <w:top w:val="single" w:color="auto" w:sz="4" w:space="0"/>
              <w:left w:val="single" w:color="auto" w:sz="4" w:space="0"/>
              <w:bottom w:val="single" w:color="auto" w:sz="4" w:space="0"/>
              <w:right w:val="single" w:color="auto" w:sz="4" w:space="0"/>
            </w:tcBorders>
            <w:noWrap w:val="0"/>
            <w:vAlign w:val="center"/>
          </w:tcPr>
          <w:p w14:paraId="3E8C943F">
            <w:pPr>
              <w:keepNext w:val="0"/>
              <w:keepLines w:val="0"/>
              <w:pageBreakBefore w:val="0"/>
              <w:numPr>
                <w:ilvl w:val="0"/>
                <w:numId w:val="1"/>
              </w:numPr>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双方权利及义务：（一）甲方权利义务</w:t>
            </w:r>
          </w:p>
          <w:p w14:paraId="5AA0277F">
            <w:pPr>
              <w:keepNext w:val="0"/>
              <w:keepLines w:val="0"/>
              <w:pageBreakBefore w:val="0"/>
              <w:numPr>
                <w:ilvl w:val="0"/>
                <w:numId w:val="0"/>
              </w:numPr>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8.与乙方协同购买营林施工人员人身意外伤害保险。</w:t>
            </w:r>
          </w:p>
        </w:tc>
        <w:tc>
          <w:tcPr>
            <w:tcW w:w="3397" w:type="dxa"/>
            <w:tcBorders>
              <w:top w:val="single" w:color="auto" w:sz="4" w:space="0"/>
              <w:left w:val="single" w:color="auto" w:sz="4" w:space="0"/>
              <w:bottom w:val="single" w:color="auto" w:sz="4" w:space="0"/>
              <w:right w:val="single" w:color="auto" w:sz="4" w:space="0"/>
            </w:tcBorders>
            <w:noWrap w:val="0"/>
            <w:vAlign w:val="center"/>
          </w:tcPr>
          <w:p w14:paraId="44F2B6E5">
            <w:pPr>
              <w:keepNext w:val="0"/>
              <w:keepLines w:val="0"/>
              <w:pageBreakBefore w:val="0"/>
              <w:numPr>
                <w:ilvl w:val="0"/>
                <w:numId w:val="1"/>
              </w:numPr>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双方权利及义务：</w:t>
            </w:r>
          </w:p>
          <w:p w14:paraId="52CA8604">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8.监督乙方为施工人员购买人身意外险。</w:t>
            </w:r>
          </w:p>
          <w:p w14:paraId="127AC7E0">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p>
        </w:tc>
      </w:tr>
      <w:tr w14:paraId="251105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6C66264">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CD7FF40">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第五章拟签订的合同文本</w:t>
            </w:r>
          </w:p>
        </w:tc>
        <w:tc>
          <w:tcPr>
            <w:tcW w:w="3177" w:type="dxa"/>
            <w:tcBorders>
              <w:top w:val="single" w:color="auto" w:sz="4" w:space="0"/>
              <w:left w:val="single" w:color="auto" w:sz="4" w:space="0"/>
              <w:bottom w:val="single" w:color="auto" w:sz="4" w:space="0"/>
              <w:right w:val="single" w:color="auto" w:sz="4" w:space="0"/>
            </w:tcBorders>
            <w:noWrap w:val="0"/>
            <w:vAlign w:val="center"/>
          </w:tcPr>
          <w:p w14:paraId="1A522FC5">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第四条  双方权利及义务：（二）乙方权利义务</w:t>
            </w:r>
          </w:p>
          <w:p w14:paraId="63439C80">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10.与甲方协同购买营林施工人员人身意外伤害保险。</w:t>
            </w:r>
          </w:p>
          <w:p w14:paraId="08D6A8EA">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p>
        </w:tc>
        <w:tc>
          <w:tcPr>
            <w:tcW w:w="3397" w:type="dxa"/>
            <w:tcBorders>
              <w:top w:val="single" w:color="auto" w:sz="4" w:space="0"/>
              <w:left w:val="single" w:color="auto" w:sz="4" w:space="0"/>
              <w:bottom w:val="single" w:color="auto" w:sz="4" w:space="0"/>
              <w:right w:val="single" w:color="auto" w:sz="4" w:space="0"/>
            </w:tcBorders>
            <w:noWrap w:val="0"/>
            <w:vAlign w:val="center"/>
          </w:tcPr>
          <w:p w14:paraId="763F4201">
            <w:pPr>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10.负责给所有施工人员购买人身意外伤害保险。意外身故或伤残保额不低于80万元/人，意外医疗保额不低于8万元/人，意外住院津贴补助不低于1000元/天/人，最高180天计1.8万元/人，投保年保费最高额600元/人。</w:t>
            </w:r>
          </w:p>
        </w:tc>
      </w:tr>
    </w:tbl>
    <w:p w14:paraId="458309FC">
      <w:pPr>
        <w:spacing w:line="360" w:lineRule="auto"/>
        <w:rPr>
          <w:rFonts w:hint="eastAsia"/>
          <w:b/>
          <w:bCs/>
          <w:color w:val="auto"/>
          <w:highlight w:val="none"/>
        </w:rPr>
      </w:pPr>
      <w:r>
        <w:rPr>
          <w:rFonts w:hint="eastAsia"/>
          <w:b/>
          <w:bCs/>
          <w:color w:val="auto"/>
          <w:highlight w:val="none"/>
        </w:rPr>
        <w:t>三、其他补充事宜</w:t>
      </w:r>
    </w:p>
    <w:p w14:paraId="638EB535">
      <w:pPr>
        <w:spacing w:line="360" w:lineRule="auto"/>
        <w:rPr>
          <w:rFonts w:hint="eastAsia"/>
          <w:color w:val="auto"/>
          <w:highlight w:val="none"/>
        </w:rPr>
      </w:pPr>
      <w:r>
        <w:rPr>
          <w:rFonts w:hint="eastAsia"/>
          <w:color w:val="auto"/>
          <w:highlight w:val="none"/>
        </w:rPr>
        <w:t>采购公告、采购文件涉及到以上更正内容则全文统一，请按更正后的内容执行，其余部分不变。 </w:t>
      </w:r>
    </w:p>
    <w:p w14:paraId="52E5E763">
      <w:pPr>
        <w:spacing w:line="360" w:lineRule="auto"/>
        <w:rPr>
          <w:rFonts w:hint="eastAsia"/>
          <w:color w:val="auto"/>
          <w:highlight w:val="none"/>
        </w:rPr>
      </w:pPr>
      <w:r>
        <w:rPr>
          <w:rFonts w:hint="eastAsia"/>
          <w:b/>
          <w:bCs/>
          <w:color w:val="auto"/>
          <w:highlight w:val="none"/>
        </w:rPr>
        <w:t>四、对本次公告提出询问，请按以下方式联系　</w:t>
      </w:r>
      <w:r>
        <w:rPr>
          <w:rFonts w:hint="eastAsia"/>
          <w:color w:val="auto"/>
          <w:highlight w:val="none"/>
        </w:rPr>
        <w:t>　　            </w:t>
      </w:r>
    </w:p>
    <w:p w14:paraId="6AA07AB4">
      <w:pPr>
        <w:spacing w:line="360" w:lineRule="auto"/>
        <w:rPr>
          <w:rFonts w:hint="eastAsia"/>
          <w:color w:val="auto"/>
          <w:highlight w:val="none"/>
        </w:rPr>
      </w:pPr>
      <w:bookmarkStart w:id="1" w:name="_Toc28359096"/>
      <w:bookmarkStart w:id="2" w:name="_Toc28359019"/>
      <w:bookmarkStart w:id="3" w:name="_Toc35393637"/>
      <w:bookmarkStart w:id="4" w:name="_Toc35393806"/>
      <w:r>
        <w:rPr>
          <w:rFonts w:hint="eastAsia"/>
          <w:color w:val="auto"/>
          <w:highlight w:val="none"/>
        </w:rPr>
        <w:t>1.</w:t>
      </w:r>
      <w:r>
        <w:rPr>
          <w:rFonts w:hint="eastAsia"/>
          <w:color w:val="auto"/>
          <w:highlight w:val="none"/>
          <w:lang w:eastAsia="zh-CN"/>
        </w:rPr>
        <w:t>招标</w:t>
      </w:r>
      <w:r>
        <w:rPr>
          <w:rFonts w:hint="eastAsia"/>
          <w:color w:val="auto"/>
          <w:highlight w:val="none"/>
        </w:rPr>
        <w:t>人信息</w:t>
      </w:r>
      <w:bookmarkEnd w:id="1"/>
      <w:bookmarkEnd w:id="2"/>
      <w:bookmarkEnd w:id="3"/>
      <w:bookmarkEnd w:id="4"/>
    </w:p>
    <w:p w14:paraId="682CB5D0">
      <w:pPr>
        <w:spacing w:line="360" w:lineRule="auto"/>
        <w:rPr>
          <w:rFonts w:hint="eastAsia"/>
          <w:color w:val="auto"/>
          <w:highlight w:val="none"/>
          <w:lang w:eastAsia="zh-CN"/>
        </w:rPr>
      </w:pPr>
      <w:r>
        <w:rPr>
          <w:rFonts w:hint="eastAsia"/>
          <w:color w:val="auto"/>
          <w:highlight w:val="none"/>
        </w:rPr>
        <w:t>名    称：</w:t>
      </w:r>
      <w:r>
        <w:rPr>
          <w:rFonts w:hint="eastAsia"/>
          <w:color w:val="auto"/>
          <w:highlight w:val="none"/>
          <w:lang w:eastAsia="zh-CN"/>
        </w:rPr>
        <w:t>广西国控林业投资股份有限公司</w:t>
      </w:r>
    </w:p>
    <w:p w14:paraId="3245647E">
      <w:pPr>
        <w:spacing w:line="360" w:lineRule="auto"/>
        <w:rPr>
          <w:rFonts w:hint="eastAsia"/>
          <w:color w:val="auto"/>
          <w:highlight w:val="none"/>
          <w:lang w:eastAsia="zh-CN"/>
        </w:rPr>
      </w:pPr>
      <w:r>
        <w:rPr>
          <w:rFonts w:hint="eastAsia"/>
          <w:color w:val="auto"/>
          <w:highlight w:val="none"/>
        </w:rPr>
        <w:t>地    址：南宁市青秀区玉兰路2号林业新村公建部分职工服务中心4楼（华森大厦4楼）</w:t>
      </w:r>
      <w:r>
        <w:rPr>
          <w:rFonts w:hint="eastAsia"/>
          <w:color w:val="auto"/>
          <w:highlight w:val="none"/>
          <w:lang w:val="en-US" w:eastAsia="zh-CN"/>
        </w:rPr>
        <w:t xml:space="preserve"> </w:t>
      </w:r>
    </w:p>
    <w:p w14:paraId="7026B228">
      <w:pPr>
        <w:spacing w:line="360" w:lineRule="auto"/>
        <w:rPr>
          <w:rFonts w:hint="eastAsia"/>
          <w:color w:val="auto"/>
          <w:highlight w:val="none"/>
          <w:lang w:val="en-US" w:eastAsia="zh-CN"/>
        </w:rPr>
      </w:pPr>
      <w:r>
        <w:rPr>
          <w:rFonts w:hint="eastAsia"/>
          <w:color w:val="auto"/>
          <w:highlight w:val="none"/>
        </w:rPr>
        <w:t>联系人：</w:t>
      </w:r>
      <w:r>
        <w:rPr>
          <w:rFonts w:hint="eastAsia"/>
          <w:color w:val="auto"/>
          <w:highlight w:val="none"/>
          <w:lang w:val="en-US" w:eastAsia="zh-CN"/>
        </w:rPr>
        <w:t>谢工</w:t>
      </w:r>
    </w:p>
    <w:p w14:paraId="556829BC">
      <w:pPr>
        <w:spacing w:line="360" w:lineRule="auto"/>
        <w:rPr>
          <w:rFonts w:hint="eastAsia"/>
          <w:color w:val="auto"/>
          <w:highlight w:val="none"/>
          <w:lang w:val="en-US" w:eastAsia="zh-CN"/>
        </w:rPr>
      </w:pPr>
      <w:r>
        <w:rPr>
          <w:rFonts w:hint="eastAsia"/>
          <w:color w:val="auto"/>
          <w:highlight w:val="none"/>
        </w:rPr>
        <w:t>联系方式：0771-5828956</w:t>
      </w:r>
      <w:r>
        <w:rPr>
          <w:rFonts w:hint="eastAsia"/>
          <w:color w:val="auto"/>
          <w:highlight w:val="none"/>
          <w:lang w:val="en-US" w:eastAsia="zh-CN"/>
        </w:rPr>
        <w:t xml:space="preserve"> </w:t>
      </w:r>
    </w:p>
    <w:p w14:paraId="3747B38B">
      <w:pPr>
        <w:spacing w:line="360" w:lineRule="auto"/>
        <w:rPr>
          <w:rFonts w:hint="eastAsia"/>
          <w:color w:val="auto"/>
          <w:highlight w:val="none"/>
        </w:rPr>
      </w:pPr>
      <w:bookmarkStart w:id="5" w:name="_Toc28359097"/>
      <w:bookmarkStart w:id="6" w:name="_Toc35393638"/>
      <w:bookmarkStart w:id="7" w:name="_Toc35393807"/>
      <w:bookmarkStart w:id="8" w:name="_Toc28359020"/>
      <w:r>
        <w:rPr>
          <w:rFonts w:hint="eastAsia"/>
          <w:color w:val="auto"/>
          <w:highlight w:val="none"/>
        </w:rPr>
        <w:t>2.</w:t>
      </w:r>
      <w:r>
        <w:rPr>
          <w:rFonts w:hint="eastAsia"/>
          <w:color w:val="auto"/>
          <w:highlight w:val="none"/>
          <w:lang w:eastAsia="zh-CN"/>
        </w:rPr>
        <w:t>招标</w:t>
      </w:r>
      <w:r>
        <w:rPr>
          <w:rFonts w:hint="eastAsia"/>
          <w:color w:val="auto"/>
          <w:highlight w:val="none"/>
        </w:rPr>
        <w:t>代理机构信息</w:t>
      </w:r>
      <w:bookmarkEnd w:id="5"/>
      <w:bookmarkEnd w:id="6"/>
      <w:bookmarkEnd w:id="7"/>
      <w:bookmarkEnd w:id="8"/>
    </w:p>
    <w:p w14:paraId="1A47E62D">
      <w:pPr>
        <w:spacing w:line="360" w:lineRule="auto"/>
        <w:rPr>
          <w:rFonts w:hint="eastAsia"/>
          <w:color w:val="auto"/>
          <w:highlight w:val="none"/>
        </w:rPr>
      </w:pPr>
      <w:r>
        <w:rPr>
          <w:rFonts w:hint="eastAsia"/>
          <w:color w:val="auto"/>
          <w:highlight w:val="none"/>
        </w:rPr>
        <w:t>名    称：广西翰林工程项目管理有限责任公司</w:t>
      </w:r>
    </w:p>
    <w:p w14:paraId="0F9BF848">
      <w:pPr>
        <w:spacing w:line="360" w:lineRule="auto"/>
        <w:rPr>
          <w:rFonts w:hint="eastAsia"/>
          <w:color w:val="auto"/>
          <w:highlight w:val="none"/>
        </w:rPr>
      </w:pPr>
      <w:r>
        <w:rPr>
          <w:rFonts w:hint="eastAsia"/>
          <w:color w:val="auto"/>
          <w:highlight w:val="none"/>
        </w:rPr>
        <w:t>地　　址：南宁市青秀区云景路78号南宁民族大饭店十七层B-1713号办公</w:t>
      </w:r>
    </w:p>
    <w:p w14:paraId="3F277753">
      <w:pPr>
        <w:spacing w:line="360" w:lineRule="auto"/>
        <w:rPr>
          <w:rFonts w:hint="eastAsia"/>
          <w:color w:val="auto"/>
          <w:highlight w:val="none"/>
        </w:rPr>
      </w:pPr>
      <w:bookmarkStart w:id="9" w:name="_Toc35393808"/>
      <w:bookmarkStart w:id="10" w:name="_Toc28359098"/>
      <w:bookmarkStart w:id="11" w:name="_Toc28359021"/>
      <w:bookmarkStart w:id="12" w:name="_Toc35393639"/>
      <w:r>
        <w:rPr>
          <w:rFonts w:hint="eastAsia"/>
          <w:color w:val="auto"/>
          <w:highlight w:val="none"/>
        </w:rPr>
        <w:t>3.项目联系方式</w:t>
      </w:r>
      <w:bookmarkEnd w:id="9"/>
      <w:bookmarkEnd w:id="10"/>
      <w:bookmarkEnd w:id="11"/>
      <w:bookmarkEnd w:id="12"/>
    </w:p>
    <w:p w14:paraId="32E2468B">
      <w:pPr>
        <w:spacing w:line="360" w:lineRule="auto"/>
        <w:rPr>
          <w:rFonts w:hint="eastAsia"/>
          <w:color w:val="auto"/>
          <w:highlight w:val="none"/>
        </w:rPr>
      </w:pPr>
      <w:r>
        <w:rPr>
          <w:rFonts w:hint="eastAsia"/>
          <w:color w:val="auto"/>
          <w:highlight w:val="none"/>
        </w:rPr>
        <w:t>项目联系人：</w:t>
      </w:r>
      <w:r>
        <w:rPr>
          <w:rFonts w:hint="eastAsia"/>
          <w:color w:val="auto"/>
          <w:highlight w:val="none"/>
          <w:lang w:val="en-US" w:eastAsia="zh-CN"/>
        </w:rPr>
        <w:t xml:space="preserve">邓其盈  </w:t>
      </w:r>
      <w:r>
        <w:rPr>
          <w:rFonts w:hint="eastAsia"/>
          <w:color w:val="auto"/>
          <w:highlight w:val="none"/>
        </w:rPr>
        <w:t>林子馨</w:t>
      </w:r>
    </w:p>
    <w:p w14:paraId="160AA263">
      <w:pPr>
        <w:spacing w:line="360" w:lineRule="auto"/>
        <w:rPr>
          <w:rFonts w:hint="eastAsia"/>
          <w:color w:val="auto"/>
          <w:highlight w:val="none"/>
        </w:rPr>
      </w:pPr>
      <w:r>
        <w:rPr>
          <w:rFonts w:hint="eastAsia"/>
          <w:color w:val="auto"/>
          <w:highlight w:val="none"/>
        </w:rPr>
        <w:t>电　　话：0771-5850233　　</w:t>
      </w:r>
    </w:p>
    <w:p w14:paraId="033D623B">
      <w:pPr>
        <w:spacing w:line="360" w:lineRule="auto"/>
        <w:rPr>
          <w:rFonts w:hint="eastAsia"/>
          <w:color w:val="auto"/>
          <w:highlight w:val="none"/>
        </w:rPr>
      </w:pPr>
    </w:p>
    <w:p w14:paraId="77043C20">
      <w:pPr>
        <w:spacing w:line="360" w:lineRule="auto"/>
        <w:rPr>
          <w:rFonts w:hint="eastAsia"/>
          <w:color w:val="auto"/>
          <w:highlight w:val="none"/>
        </w:rPr>
      </w:pPr>
      <w:r>
        <w:rPr>
          <w:rFonts w:hint="eastAsia"/>
          <w:color w:val="auto"/>
          <w:highlight w:val="none"/>
        </w:rPr>
        <w:t> </w:t>
      </w:r>
    </w:p>
    <w:p w14:paraId="46A02B9B">
      <w:pPr>
        <w:spacing w:line="360" w:lineRule="auto"/>
        <w:jc w:val="right"/>
        <w:rPr>
          <w:rFonts w:hint="eastAsia"/>
          <w:color w:val="auto"/>
          <w:highlight w:val="none"/>
        </w:rPr>
      </w:pPr>
      <w:r>
        <w:rPr>
          <w:rFonts w:hint="eastAsia"/>
          <w:color w:val="auto"/>
          <w:highlight w:val="none"/>
        </w:rPr>
        <w:t>           采购代理机构: 广西翰林工程项目管理有限责任公司</w:t>
      </w:r>
    </w:p>
    <w:p w14:paraId="592C9F95">
      <w:pPr>
        <w:spacing w:line="360" w:lineRule="auto"/>
        <w:jc w:val="right"/>
        <w:rPr>
          <w:rFonts w:hint="eastAsia"/>
          <w:color w:val="auto"/>
          <w:highlight w:val="none"/>
        </w:rPr>
      </w:pPr>
      <w:r>
        <w:rPr>
          <w:rFonts w:hint="eastAsia"/>
          <w:color w:val="auto"/>
          <w:highlight w:val="none"/>
        </w:rPr>
        <w:t> 2026年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30</w:t>
      </w:r>
      <w:r>
        <w:rPr>
          <w:rFonts w:hint="eastAsia"/>
          <w:color w:val="auto"/>
          <w:highlight w:val="none"/>
        </w:rPr>
        <w:t>日</w:t>
      </w:r>
    </w:p>
    <w:p w14:paraId="395E45D8">
      <w:pPr>
        <w:jc w:val="right"/>
        <w:rPr>
          <w:color w:val="auto"/>
          <w:highlight w:val="none"/>
        </w:rPr>
      </w:pPr>
    </w:p>
    <w:p w14:paraId="6CF624E9">
      <w:pPr>
        <w:jc w:val="right"/>
        <w:rPr>
          <w:color w:val="auto"/>
          <w:highlight w:val="none"/>
        </w:rPr>
      </w:pPr>
    </w:p>
    <w:p w14:paraId="4DD469E6">
      <w:pPr>
        <w:jc w:val="right"/>
        <w:rPr>
          <w:color w:val="auto"/>
          <w:highlight w:val="none"/>
        </w:rPr>
      </w:pPr>
    </w:p>
    <w:p w14:paraId="44F5B915">
      <w:pPr>
        <w:jc w:val="right"/>
        <w:rPr>
          <w:color w:val="auto"/>
          <w:highlight w:val="none"/>
        </w:rPr>
      </w:pPr>
    </w:p>
    <w:p w14:paraId="19C97F42">
      <w:pPr>
        <w:jc w:val="right"/>
        <w:rPr>
          <w:color w:val="auto"/>
          <w:highlight w:val="none"/>
        </w:rPr>
      </w:pPr>
    </w:p>
    <w:p w14:paraId="7BE4FD5B">
      <w:pPr>
        <w:jc w:val="right"/>
        <w:rPr>
          <w:color w:val="auto"/>
          <w:highlight w:val="none"/>
        </w:rPr>
      </w:pPr>
    </w:p>
    <w:p w14:paraId="70D2D468">
      <w:pPr>
        <w:jc w:val="right"/>
        <w:rPr>
          <w:color w:val="auto"/>
          <w:highlight w:val="none"/>
        </w:rPr>
      </w:pPr>
    </w:p>
    <w:p w14:paraId="2AE9C156">
      <w:pPr>
        <w:jc w:val="right"/>
        <w:rPr>
          <w:color w:val="auto"/>
          <w:highlight w:val="none"/>
        </w:rPr>
      </w:pPr>
    </w:p>
    <w:p w14:paraId="072923B9">
      <w:pPr>
        <w:jc w:val="right"/>
        <w:rPr>
          <w:color w:val="auto"/>
          <w:highlight w:val="none"/>
        </w:rPr>
      </w:pPr>
    </w:p>
    <w:p w14:paraId="400EBDF2">
      <w:pPr>
        <w:jc w:val="right"/>
        <w:rPr>
          <w:color w:val="auto"/>
          <w:highlight w:val="none"/>
        </w:rPr>
      </w:pPr>
    </w:p>
    <w:p w14:paraId="7399760F">
      <w:pPr>
        <w:jc w:val="right"/>
        <w:rPr>
          <w:color w:val="auto"/>
          <w:highlight w:val="none"/>
        </w:rPr>
      </w:pPr>
    </w:p>
    <w:p w14:paraId="3F903AA0">
      <w:pPr>
        <w:jc w:val="right"/>
        <w:rPr>
          <w:color w:val="auto"/>
          <w:highlight w:val="none"/>
        </w:rPr>
      </w:pPr>
    </w:p>
    <w:p w14:paraId="4462C0AA">
      <w:pPr>
        <w:jc w:val="right"/>
        <w:rPr>
          <w:color w:val="auto"/>
          <w:highlight w:val="none"/>
        </w:rPr>
      </w:pPr>
    </w:p>
    <w:p w14:paraId="7B5950C7">
      <w:pPr>
        <w:jc w:val="right"/>
        <w:rPr>
          <w:color w:val="auto"/>
          <w:highlight w:val="none"/>
        </w:rPr>
      </w:pPr>
    </w:p>
    <w:p w14:paraId="68F5F039">
      <w:pPr>
        <w:jc w:val="right"/>
        <w:rPr>
          <w:color w:val="auto"/>
          <w:highlight w:val="none"/>
        </w:rPr>
      </w:pPr>
    </w:p>
    <w:p w14:paraId="116348AB">
      <w:pPr>
        <w:jc w:val="right"/>
        <w:rPr>
          <w:color w:val="auto"/>
          <w:highlight w:val="none"/>
        </w:rPr>
      </w:pPr>
    </w:p>
    <w:p w14:paraId="13D30617">
      <w:pPr>
        <w:jc w:val="right"/>
        <w:rPr>
          <w:color w:val="auto"/>
          <w:highlight w:val="none"/>
        </w:rPr>
      </w:pPr>
    </w:p>
    <w:p w14:paraId="575E9163">
      <w:pPr>
        <w:jc w:val="both"/>
        <w:rPr>
          <w:color w:val="auto"/>
          <w:highlight w:val="none"/>
        </w:rPr>
      </w:pPr>
    </w:p>
    <w:p w14:paraId="72CF6011">
      <w:pPr>
        <w:jc w:val="both"/>
        <w:rPr>
          <w:color w:val="auto"/>
          <w:highlight w:val="none"/>
        </w:rPr>
      </w:pPr>
    </w:p>
    <w:p w14:paraId="5C6D5884">
      <w:pPr>
        <w:jc w:val="both"/>
        <w:rPr>
          <w:rFonts w:hint="eastAsia"/>
          <w:b/>
          <w:bCs/>
          <w:color w:val="auto"/>
          <w:sz w:val="32"/>
          <w:szCs w:val="40"/>
          <w:highlight w:val="none"/>
          <w:lang w:eastAsia="zh-CN"/>
        </w:rPr>
      </w:pPr>
      <w:r>
        <w:rPr>
          <w:rFonts w:hint="eastAsia"/>
          <w:b/>
          <w:bCs/>
          <w:color w:val="auto"/>
          <w:sz w:val="32"/>
          <w:szCs w:val="40"/>
          <w:highlight w:val="none"/>
          <w:lang w:eastAsia="zh-CN"/>
        </w:rPr>
        <w:t>附件一更正前采购需求：</w:t>
      </w:r>
    </w:p>
    <w:p w14:paraId="70969E00">
      <w:pPr>
        <w:pStyle w:val="2"/>
        <w:keepNext w:val="0"/>
        <w:keepLines w:val="0"/>
        <w:numPr>
          <w:ilvl w:val="0"/>
          <w:numId w:val="2"/>
        </w:numPr>
        <w:tabs>
          <w:tab w:val="left" w:pos="0"/>
          <w:tab w:val="left" w:pos="3165"/>
          <w:tab w:val="center" w:pos="4153"/>
        </w:tabs>
        <w:autoSpaceDE w:val="0"/>
        <w:autoSpaceDN w:val="0"/>
        <w:adjustRightInd w:val="0"/>
        <w:spacing w:before="0" w:after="0" w:line="480" w:lineRule="auto"/>
        <w:jc w:val="center"/>
        <w:rPr>
          <w:rFonts w:hint="eastAsia"/>
          <w:color w:val="auto"/>
          <w:highlight w:val="none"/>
        </w:rPr>
      </w:pPr>
      <w:r>
        <w:rPr>
          <w:rFonts w:hint="eastAsia"/>
          <w:color w:val="auto"/>
          <w:highlight w:val="none"/>
        </w:rPr>
        <w:t xml:space="preserve"> 采购需求</w:t>
      </w:r>
    </w:p>
    <w:p w14:paraId="42B08A6D">
      <w:pPr>
        <w:numPr>
          <w:ilvl w:val="0"/>
          <w:numId w:val="0"/>
        </w:numPr>
        <w:rPr>
          <w:rFonts w:hint="eastAsia"/>
          <w:color w:val="auto"/>
          <w:highlight w:val="none"/>
        </w:rPr>
      </w:pPr>
    </w:p>
    <w:p w14:paraId="78A855CB">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 项目基本情况</w:t>
      </w:r>
    </w:p>
    <w:p w14:paraId="439BFC6C">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采购人油茶林地需要开展追肥等营林施工作业。为保障油茶树健康生长，计划组织开展施工。</w:t>
      </w:r>
    </w:p>
    <w:p w14:paraId="7A95A961">
      <w:pPr>
        <w:spacing w:line="360" w:lineRule="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（一）各标段基本情况：</w:t>
      </w: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52B1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5655C64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4104389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407FFDA0">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5443B67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30BD2B7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92D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27D547C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w:t>
            </w:r>
            <w:r>
              <w:rPr>
                <w:rFonts w:hint="eastAsia" w:ascii="宋体" w:hAnsi="宋体" w:eastAsia="宋体" w:cs="宋体"/>
                <w:color w:val="auto"/>
                <w:sz w:val="21"/>
                <w:szCs w:val="21"/>
                <w:highlight w:val="none"/>
              </w:rPr>
              <w:t>一</w:t>
            </w:r>
          </w:p>
        </w:tc>
        <w:tc>
          <w:tcPr>
            <w:tcW w:w="2683" w:type="dxa"/>
            <w:noWrap w:val="0"/>
            <w:vAlign w:val="center"/>
          </w:tcPr>
          <w:p w14:paraId="34C2664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77EC5A2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河池市天峨县纳直乡当里村6林班</w:t>
            </w:r>
          </w:p>
        </w:tc>
        <w:tc>
          <w:tcPr>
            <w:tcW w:w="1276" w:type="dxa"/>
            <w:noWrap w:val="0"/>
            <w:vAlign w:val="center"/>
          </w:tcPr>
          <w:p w14:paraId="317EBFD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330.6</w:t>
            </w:r>
          </w:p>
        </w:tc>
        <w:tc>
          <w:tcPr>
            <w:tcW w:w="1281" w:type="dxa"/>
            <w:noWrap w:val="0"/>
            <w:vAlign w:val="center"/>
          </w:tcPr>
          <w:p w14:paraId="7877C38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2FD88F92">
      <w:pPr>
        <w:snapToGrid w:val="0"/>
        <w:jc w:val="left"/>
        <w:rPr>
          <w:rFonts w:hint="eastAsia" w:ascii="宋体" w:hAnsi="宋体" w:eastAsia="宋体" w:cs="宋体"/>
          <w:color w:val="auto"/>
          <w:sz w:val="21"/>
          <w:szCs w:val="21"/>
          <w:highlight w:val="none"/>
        </w:rPr>
      </w:pPr>
    </w:p>
    <w:p w14:paraId="255F5FC6">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5A68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2A3F335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19FE620A">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39357F4D">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2036CD4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755F631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844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1BCC6926">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项二</w:t>
            </w:r>
          </w:p>
        </w:tc>
        <w:tc>
          <w:tcPr>
            <w:tcW w:w="2683" w:type="dxa"/>
            <w:noWrap w:val="0"/>
            <w:vAlign w:val="center"/>
          </w:tcPr>
          <w:p w14:paraId="211FA89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61A7CFB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河池市天峨县纳直乡当里村6林班、河池市天峨县纳直乡当里村8林班、河池市天峨县纳直乡当里村9林班</w:t>
            </w:r>
          </w:p>
        </w:tc>
        <w:tc>
          <w:tcPr>
            <w:tcW w:w="1276" w:type="dxa"/>
            <w:noWrap w:val="0"/>
            <w:vAlign w:val="center"/>
          </w:tcPr>
          <w:p w14:paraId="0AF62430">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586.2</w:t>
            </w:r>
          </w:p>
        </w:tc>
        <w:tc>
          <w:tcPr>
            <w:tcW w:w="1281" w:type="dxa"/>
            <w:noWrap w:val="0"/>
            <w:vAlign w:val="center"/>
          </w:tcPr>
          <w:p w14:paraId="7C2E5E0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5B025FE0">
      <w:pPr>
        <w:snapToGrid w:val="0"/>
        <w:jc w:val="left"/>
        <w:rPr>
          <w:rFonts w:hint="eastAsia" w:ascii="宋体" w:hAnsi="宋体" w:eastAsia="宋体" w:cs="宋体"/>
          <w:color w:val="auto"/>
          <w:sz w:val="21"/>
          <w:szCs w:val="21"/>
          <w:highlight w:val="none"/>
        </w:rPr>
      </w:pPr>
    </w:p>
    <w:p w14:paraId="542717E6">
      <w:pPr>
        <w:snapToGrid w:val="0"/>
        <w:jc w:val="left"/>
        <w:rPr>
          <w:rFonts w:hint="eastAsia" w:ascii="宋体" w:hAnsi="宋体" w:eastAsia="宋体" w:cs="宋体"/>
          <w:color w:val="auto"/>
          <w:sz w:val="21"/>
          <w:szCs w:val="21"/>
          <w:highlight w:val="none"/>
        </w:rPr>
      </w:pPr>
    </w:p>
    <w:p w14:paraId="5B8A4BBE">
      <w:pPr>
        <w:snapToGrid w:val="0"/>
        <w:jc w:val="left"/>
        <w:rPr>
          <w:rFonts w:hint="eastAsia" w:ascii="宋体" w:hAnsi="宋体" w:eastAsia="宋体" w:cs="宋体"/>
          <w:color w:val="auto"/>
          <w:sz w:val="21"/>
          <w:szCs w:val="21"/>
          <w:highlight w:val="none"/>
        </w:rPr>
      </w:pPr>
    </w:p>
    <w:p w14:paraId="2EEA88BD">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7AEC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6099131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12E14DD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2C19552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0DB87F5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7F6FA3A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A61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4C593435">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项三</w:t>
            </w:r>
          </w:p>
        </w:tc>
        <w:tc>
          <w:tcPr>
            <w:tcW w:w="2683" w:type="dxa"/>
            <w:noWrap w:val="0"/>
            <w:vAlign w:val="center"/>
          </w:tcPr>
          <w:p w14:paraId="5C42795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07D04CA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河池市天峨县坡结乡坡结村1经营林班</w:t>
            </w:r>
          </w:p>
        </w:tc>
        <w:tc>
          <w:tcPr>
            <w:tcW w:w="1276" w:type="dxa"/>
            <w:noWrap w:val="0"/>
            <w:vAlign w:val="center"/>
          </w:tcPr>
          <w:p w14:paraId="5C71ABB7">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213.9</w:t>
            </w:r>
          </w:p>
        </w:tc>
        <w:tc>
          <w:tcPr>
            <w:tcW w:w="1281" w:type="dxa"/>
            <w:noWrap w:val="0"/>
            <w:vAlign w:val="center"/>
          </w:tcPr>
          <w:p w14:paraId="03B1210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55482AD1">
      <w:pPr>
        <w:snapToGrid w:val="0"/>
        <w:jc w:val="left"/>
        <w:rPr>
          <w:rFonts w:hint="eastAsia" w:ascii="宋体" w:hAnsi="宋体" w:eastAsia="宋体" w:cs="宋体"/>
          <w:color w:val="auto"/>
          <w:sz w:val="21"/>
          <w:szCs w:val="21"/>
          <w:highlight w:val="none"/>
        </w:rPr>
      </w:pPr>
    </w:p>
    <w:p w14:paraId="28065877">
      <w:pPr>
        <w:snapToGrid w:val="0"/>
        <w:jc w:val="left"/>
        <w:rPr>
          <w:rFonts w:hint="eastAsia" w:ascii="宋体" w:hAnsi="宋体" w:eastAsia="宋体" w:cs="宋体"/>
          <w:color w:val="auto"/>
          <w:sz w:val="21"/>
          <w:szCs w:val="21"/>
          <w:highlight w:val="none"/>
        </w:rPr>
      </w:pPr>
    </w:p>
    <w:p w14:paraId="7F5B07A0">
      <w:pPr>
        <w:snapToGrid w:val="0"/>
        <w:jc w:val="left"/>
        <w:rPr>
          <w:rFonts w:hint="eastAsia" w:ascii="宋体" w:hAnsi="宋体" w:eastAsia="宋体" w:cs="宋体"/>
          <w:color w:val="auto"/>
          <w:sz w:val="21"/>
          <w:szCs w:val="21"/>
          <w:highlight w:val="none"/>
        </w:rPr>
      </w:pPr>
    </w:p>
    <w:p w14:paraId="435A9F61">
      <w:pPr>
        <w:snapToGrid w:val="0"/>
        <w:jc w:val="left"/>
        <w:rPr>
          <w:rFonts w:hint="eastAsia" w:ascii="宋体" w:hAnsi="宋体" w:eastAsia="宋体" w:cs="宋体"/>
          <w:color w:val="auto"/>
          <w:sz w:val="21"/>
          <w:szCs w:val="21"/>
          <w:highlight w:val="none"/>
        </w:rPr>
      </w:pPr>
    </w:p>
    <w:p w14:paraId="3B6C5F81">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3560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7631F2E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033B228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2B840D9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78ACE33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78AC756A">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D38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219D4935">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项四</w:t>
            </w:r>
          </w:p>
        </w:tc>
        <w:tc>
          <w:tcPr>
            <w:tcW w:w="2683" w:type="dxa"/>
            <w:noWrap w:val="0"/>
            <w:vAlign w:val="center"/>
          </w:tcPr>
          <w:p w14:paraId="4574268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1372E4A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东兰县金谷乡、巴畴乡</w:t>
            </w:r>
          </w:p>
        </w:tc>
        <w:tc>
          <w:tcPr>
            <w:tcW w:w="1276" w:type="dxa"/>
            <w:noWrap w:val="0"/>
            <w:vAlign w:val="center"/>
          </w:tcPr>
          <w:p w14:paraId="2C891981">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362.4</w:t>
            </w:r>
          </w:p>
        </w:tc>
        <w:tc>
          <w:tcPr>
            <w:tcW w:w="1281" w:type="dxa"/>
            <w:noWrap w:val="0"/>
            <w:vAlign w:val="center"/>
          </w:tcPr>
          <w:p w14:paraId="655AED09">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22F2FFD2">
      <w:pPr>
        <w:snapToGrid w:val="0"/>
        <w:jc w:val="left"/>
        <w:rPr>
          <w:rFonts w:hint="eastAsia" w:ascii="宋体" w:hAnsi="宋体" w:eastAsia="宋体" w:cs="宋体"/>
          <w:color w:val="auto"/>
          <w:sz w:val="21"/>
          <w:szCs w:val="21"/>
          <w:highlight w:val="none"/>
        </w:rPr>
      </w:pPr>
    </w:p>
    <w:p w14:paraId="54CA4825">
      <w:pPr>
        <w:snapToGrid w:val="0"/>
        <w:jc w:val="left"/>
        <w:rPr>
          <w:rFonts w:hint="eastAsia" w:ascii="宋体" w:hAnsi="宋体" w:eastAsia="宋体" w:cs="宋体"/>
          <w:color w:val="auto"/>
          <w:sz w:val="21"/>
          <w:szCs w:val="21"/>
          <w:highlight w:val="none"/>
        </w:rPr>
      </w:pPr>
    </w:p>
    <w:p w14:paraId="7DF89605">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3527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013AA13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01E5F51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3D01D7A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1179C04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4C3491CD">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5428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15560963">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项五</w:t>
            </w:r>
          </w:p>
        </w:tc>
        <w:tc>
          <w:tcPr>
            <w:tcW w:w="2683" w:type="dxa"/>
            <w:noWrap w:val="0"/>
            <w:vAlign w:val="center"/>
          </w:tcPr>
          <w:p w14:paraId="4585B76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2726816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河池市天峨县下老乡纳明村1经营林班、河池市天峨县向阳镇党隘村4经营林班、河池市天峨县向阳镇党隘村6经营林班、河池市天峨县向阳镇党隘村8经营林班</w:t>
            </w:r>
          </w:p>
        </w:tc>
        <w:tc>
          <w:tcPr>
            <w:tcW w:w="1276" w:type="dxa"/>
            <w:noWrap w:val="0"/>
            <w:vAlign w:val="center"/>
          </w:tcPr>
          <w:p w14:paraId="53180874">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712.8</w:t>
            </w:r>
          </w:p>
        </w:tc>
        <w:tc>
          <w:tcPr>
            <w:tcW w:w="1281" w:type="dxa"/>
            <w:noWrap w:val="0"/>
            <w:vAlign w:val="center"/>
          </w:tcPr>
          <w:p w14:paraId="389C2CB9">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650C3888">
      <w:pPr>
        <w:snapToGrid w:val="0"/>
        <w:jc w:val="left"/>
        <w:rPr>
          <w:rFonts w:hint="eastAsia" w:ascii="宋体" w:hAnsi="宋体" w:eastAsia="宋体" w:cs="宋体"/>
          <w:color w:val="auto"/>
          <w:sz w:val="21"/>
          <w:szCs w:val="21"/>
          <w:highlight w:val="none"/>
        </w:rPr>
      </w:pPr>
    </w:p>
    <w:p w14:paraId="76E2DF66">
      <w:pPr>
        <w:snapToGrid w:val="0"/>
        <w:jc w:val="left"/>
        <w:rPr>
          <w:rFonts w:hint="eastAsia" w:ascii="宋体" w:hAnsi="宋体" w:eastAsia="宋体" w:cs="宋体"/>
          <w:b/>
          <w:bCs/>
          <w:color w:val="auto"/>
          <w:sz w:val="21"/>
          <w:szCs w:val="21"/>
          <w:highlight w:val="none"/>
        </w:rPr>
      </w:pPr>
    </w:p>
    <w:p w14:paraId="02DBFE5C">
      <w:pPr>
        <w:snapToGrid w:val="0"/>
        <w:jc w:val="left"/>
        <w:rPr>
          <w:rFonts w:hint="eastAsia" w:ascii="宋体" w:hAnsi="宋体" w:eastAsia="宋体" w:cs="宋体"/>
          <w:b/>
          <w:bCs/>
          <w:color w:val="auto"/>
          <w:sz w:val="21"/>
          <w:szCs w:val="21"/>
          <w:highlight w:val="none"/>
        </w:rPr>
      </w:pPr>
    </w:p>
    <w:p w14:paraId="02DE1C35">
      <w:pPr>
        <w:snapToGrid w:val="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（二）技术要求和质量标准：</w:t>
      </w:r>
    </w:p>
    <w:p w14:paraId="47B17B51">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以下是各施工工序对应的技术要求及质量标准，同时作为项目验收标准。</w:t>
      </w:r>
    </w:p>
    <w:tbl>
      <w:tblPr>
        <w:tblStyle w:val="10"/>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450"/>
        <w:gridCol w:w="6479"/>
      </w:tblGrid>
      <w:tr w14:paraId="6827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noWrap w:val="0"/>
            <w:vAlign w:val="center"/>
          </w:tcPr>
          <w:p w14:paraId="3A43A23B">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w:t>
            </w:r>
          </w:p>
        </w:tc>
        <w:tc>
          <w:tcPr>
            <w:tcW w:w="1450" w:type="dxa"/>
            <w:noWrap w:val="0"/>
            <w:vAlign w:val="center"/>
          </w:tcPr>
          <w:p w14:paraId="4F018DC2">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工序类型</w:t>
            </w:r>
          </w:p>
        </w:tc>
        <w:tc>
          <w:tcPr>
            <w:tcW w:w="6479" w:type="dxa"/>
            <w:noWrap w:val="0"/>
            <w:vAlign w:val="center"/>
          </w:tcPr>
          <w:p w14:paraId="78F4DEDF">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技术要求</w:t>
            </w:r>
          </w:p>
        </w:tc>
      </w:tr>
      <w:tr w14:paraId="75EE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restart"/>
            <w:noWrap w:val="0"/>
            <w:vAlign w:val="center"/>
          </w:tcPr>
          <w:p w14:paraId="3AE3C968">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适用于标项一、二、三、四、五</w:t>
            </w:r>
          </w:p>
        </w:tc>
        <w:tc>
          <w:tcPr>
            <w:tcW w:w="1450" w:type="dxa"/>
            <w:noWrap w:val="0"/>
            <w:vAlign w:val="center"/>
          </w:tcPr>
          <w:p w14:paraId="085ACF4A">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割灌除草抚育</w:t>
            </w:r>
          </w:p>
        </w:tc>
        <w:tc>
          <w:tcPr>
            <w:tcW w:w="6479" w:type="dxa"/>
            <w:noWrap w:val="0"/>
            <w:vAlign w:val="center"/>
          </w:tcPr>
          <w:p w14:paraId="65E4B45D">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r>
      <w:tr w14:paraId="4DF1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0043F0AC">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4934B598">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标记采伐木</w:t>
            </w:r>
          </w:p>
        </w:tc>
        <w:tc>
          <w:tcPr>
            <w:tcW w:w="6479" w:type="dxa"/>
            <w:noWrap w:val="0"/>
            <w:vAlign w:val="center"/>
          </w:tcPr>
          <w:p w14:paraId="5261AEF6">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r>
      <w:tr w14:paraId="66A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4FAC278B">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12CB409E">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间伐</w:t>
            </w:r>
          </w:p>
        </w:tc>
        <w:tc>
          <w:tcPr>
            <w:tcW w:w="6479" w:type="dxa"/>
            <w:noWrap w:val="0"/>
            <w:vAlign w:val="center"/>
          </w:tcPr>
          <w:p w14:paraId="6B1F6805">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r>
      <w:tr w14:paraId="3659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6182113B">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2F4E81B5">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造材</w:t>
            </w:r>
          </w:p>
        </w:tc>
        <w:tc>
          <w:tcPr>
            <w:tcW w:w="6479" w:type="dxa"/>
            <w:noWrap w:val="0"/>
            <w:vAlign w:val="center"/>
          </w:tcPr>
          <w:p w14:paraId="097FD964">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r>
      <w:tr w14:paraId="6E64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6FE06497">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6A1B9F61">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集材、清理运输采伐剩余物</w:t>
            </w:r>
          </w:p>
        </w:tc>
        <w:tc>
          <w:tcPr>
            <w:tcW w:w="6479" w:type="dxa"/>
            <w:noWrap w:val="0"/>
            <w:vAlign w:val="center"/>
          </w:tcPr>
          <w:p w14:paraId="5618BA0F">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r>
      <w:tr w14:paraId="5EDB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3615F1B9">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26EE469D">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追肥</w:t>
            </w:r>
          </w:p>
        </w:tc>
        <w:tc>
          <w:tcPr>
            <w:tcW w:w="6479" w:type="dxa"/>
            <w:noWrap w:val="0"/>
            <w:vAlign w:val="center"/>
          </w:tcPr>
          <w:p w14:paraId="2888439A">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r>
      <w:tr w14:paraId="7A53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73078659">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48B79910">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肥料短途运输、装卸</w:t>
            </w:r>
          </w:p>
        </w:tc>
        <w:tc>
          <w:tcPr>
            <w:tcW w:w="6479" w:type="dxa"/>
            <w:noWrap w:val="0"/>
            <w:vAlign w:val="center"/>
          </w:tcPr>
          <w:p w14:paraId="2FE9780E">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r>
      <w:tr w14:paraId="5B88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25A8E4C2">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63804FED">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维修林路</w:t>
            </w:r>
          </w:p>
        </w:tc>
        <w:tc>
          <w:tcPr>
            <w:tcW w:w="6479" w:type="dxa"/>
            <w:noWrap w:val="0"/>
            <w:vAlign w:val="center"/>
          </w:tcPr>
          <w:p w14:paraId="6417F019">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r>
    </w:tbl>
    <w:p w14:paraId="03DE6ECC">
      <w:pPr>
        <w:snapToGrid w:val="0"/>
        <w:spacing w:line="360" w:lineRule="auto"/>
        <w:jc w:val="left"/>
        <w:rPr>
          <w:rFonts w:hint="eastAsia" w:ascii="宋体" w:hAnsi="宋体" w:eastAsia="宋体" w:cs="宋体"/>
          <w:color w:val="auto"/>
          <w:sz w:val="21"/>
          <w:szCs w:val="21"/>
          <w:highlight w:val="none"/>
        </w:rPr>
      </w:pPr>
    </w:p>
    <w:p w14:paraId="6C23A976">
      <w:pPr>
        <w:snapToGrid w:val="0"/>
        <w:spacing w:line="360" w:lineRule="auto"/>
        <w:jc w:val="left"/>
        <w:rPr>
          <w:rFonts w:hint="eastAsia" w:ascii="宋体" w:hAnsi="宋体" w:eastAsia="宋体" w:cs="宋体"/>
          <w:color w:val="auto"/>
          <w:sz w:val="21"/>
          <w:szCs w:val="21"/>
          <w:highlight w:val="none"/>
        </w:rPr>
      </w:pPr>
    </w:p>
    <w:p w14:paraId="79F9F5E6">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（三）人员配备要求</w:t>
      </w:r>
      <w:r>
        <w:rPr>
          <w:rFonts w:hint="eastAsia" w:ascii="宋体" w:hAnsi="宋体" w:eastAsia="宋体" w:cs="宋体"/>
          <w:b/>
          <w:bCs/>
          <w:color w:val="auto"/>
          <w:sz w:val="21"/>
          <w:szCs w:val="21"/>
          <w:highlight w:val="none"/>
          <w:lang w:eastAsia="zh-CN"/>
        </w:rPr>
        <w:t>（适用于标项一、标项二、标项三、标项四、标项五）</w:t>
      </w:r>
      <w:r>
        <w:rPr>
          <w:rFonts w:hint="eastAsia" w:ascii="宋体" w:hAnsi="宋体" w:eastAsia="宋体" w:cs="宋体"/>
          <w:b/>
          <w:bCs/>
          <w:color w:val="auto"/>
          <w:sz w:val="21"/>
          <w:szCs w:val="21"/>
          <w:highlight w:val="none"/>
        </w:rPr>
        <w:t>：</w:t>
      </w:r>
    </w:p>
    <w:p w14:paraId="7663FD51">
      <w:pPr>
        <w:snapToGrid w:val="0"/>
        <w:spacing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需配备不少于10名施工人员，所有人员均须在进场施工前购买个人意外伤害保险（</w:t>
      </w:r>
      <w:r>
        <w:rPr>
          <w:rFonts w:hint="eastAsia" w:ascii="宋体" w:hAnsi="宋体" w:eastAsia="宋体" w:cs="宋体"/>
          <w:color w:val="auto"/>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sz w:val="21"/>
          <w:szCs w:val="21"/>
          <w:highlight w:val="none"/>
        </w:rPr>
        <w:t>），投标时可提供承诺书（承诺中标后进场前完成保险购买及人员配备），保险单复印件可在进场前补交。</w:t>
      </w:r>
    </w:p>
    <w:p w14:paraId="2BE727D4">
      <w:pPr>
        <w:snapToGrid w:val="0"/>
        <w:spacing w:line="360" w:lineRule="auto"/>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二、 商务要求</w:t>
      </w:r>
      <w:r>
        <w:rPr>
          <w:rFonts w:hint="eastAsia" w:ascii="宋体" w:hAnsi="宋体" w:eastAsia="宋体" w:cs="宋体"/>
          <w:b/>
          <w:bCs/>
          <w:color w:val="auto"/>
          <w:sz w:val="21"/>
          <w:szCs w:val="21"/>
          <w:highlight w:val="none"/>
          <w:lang w:eastAsia="zh-CN"/>
        </w:rPr>
        <w:t>（（适用于标项一、标项二、标项三、标项四、标项五））</w:t>
      </w:r>
    </w:p>
    <w:p w14:paraId="3DCEEF93">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（一）服务期限：</w:t>
      </w:r>
    </w:p>
    <w:p w14:paraId="6295D306">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自合同签订之日起至2026年</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w:t>
      </w:r>
    </w:p>
    <w:p w14:paraId="2B63F234">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（二）实施地点：</w:t>
      </w:r>
    </w:p>
    <w:p w14:paraId="46E66D15">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河池</w:t>
      </w:r>
      <w:r>
        <w:rPr>
          <w:rFonts w:hint="eastAsia" w:ascii="宋体" w:hAnsi="宋体" w:eastAsia="宋体" w:cs="宋体"/>
          <w:color w:val="auto"/>
          <w:sz w:val="21"/>
          <w:szCs w:val="21"/>
          <w:highlight w:val="none"/>
        </w:rPr>
        <w:t>市</w:t>
      </w:r>
      <w:r>
        <w:rPr>
          <w:rFonts w:hint="eastAsia" w:ascii="宋体" w:hAnsi="宋体" w:eastAsia="宋体" w:cs="宋体"/>
          <w:color w:val="auto"/>
          <w:sz w:val="21"/>
          <w:szCs w:val="21"/>
          <w:highlight w:val="none"/>
          <w:lang w:eastAsia="zh-CN"/>
        </w:rPr>
        <w:t>天峨县</w:t>
      </w:r>
      <w:r>
        <w:rPr>
          <w:rFonts w:hint="eastAsia" w:ascii="宋体" w:hAnsi="宋体" w:eastAsia="宋体" w:cs="宋体"/>
          <w:color w:val="auto"/>
          <w:sz w:val="21"/>
          <w:szCs w:val="21"/>
          <w:highlight w:val="none"/>
          <w:lang w:val="en-US" w:eastAsia="zh-CN"/>
        </w:rPr>
        <w:t>广西国控林业投资股份有限公司经营的林地内</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标的一所属</w:t>
      </w:r>
      <w:r>
        <w:rPr>
          <w:rFonts w:hint="eastAsia" w:ascii="宋体" w:hAnsi="宋体" w:eastAsia="宋体" w:cs="宋体"/>
          <w:color w:val="auto"/>
          <w:sz w:val="21"/>
          <w:szCs w:val="21"/>
          <w:highlight w:val="none"/>
        </w:rPr>
        <w:t>经营班编号：GK*</w:t>
      </w:r>
      <w:r>
        <w:rPr>
          <w:rFonts w:hint="eastAsia" w:ascii="宋体" w:hAnsi="宋体" w:eastAsia="宋体" w:cs="宋体"/>
          <w:color w:val="auto"/>
          <w:szCs w:val="21"/>
          <w:highlight w:val="none"/>
        </w:rPr>
        <w:t>122220320506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标的二所属林地经营班编号：GK*122220320506、GK*122220320506、GK*122220320506、GK*122220320508、GK*122220320509，标的三所属林地经营班编号：GK*122220720101，标的四所属林地经营班编号：GK*122420320103、GK*122420320104、GK*122420320105、GK*122420320106、GK*122420420302、GK*122420420303、GK*122420420304、GK*122420420305、GK*122420420202、GK*122420420203、GK*122420420205、GK*122420420206，标的五所属林地经营班编号：GK*122220620501、GK*122210121404、GK*122210121406、GK*122210121408</w:t>
      </w:r>
      <w:r>
        <w:rPr>
          <w:rFonts w:hint="eastAsia" w:ascii="宋体" w:hAnsi="宋体" w:eastAsia="宋体" w:cs="宋体"/>
          <w:color w:val="auto"/>
          <w:sz w:val="21"/>
          <w:szCs w:val="21"/>
          <w:highlight w:val="none"/>
        </w:rPr>
        <w:t>）。具体范围详见施工范围图。实际结算面积以</w:t>
      </w:r>
      <w:r>
        <w:rPr>
          <w:rFonts w:hint="eastAsia" w:ascii="宋体" w:hAnsi="宋体" w:eastAsia="宋体" w:cs="宋体"/>
          <w:color w:val="auto"/>
          <w:sz w:val="21"/>
          <w:szCs w:val="21"/>
          <w:highlight w:val="none"/>
          <w:lang w:val="en-US" w:eastAsia="zh-CN"/>
        </w:rPr>
        <w:t>公司</w:t>
      </w:r>
      <w:r>
        <w:rPr>
          <w:rFonts w:hint="eastAsia" w:ascii="宋体" w:hAnsi="宋体" w:eastAsia="宋体" w:cs="宋体"/>
          <w:color w:val="auto"/>
          <w:sz w:val="21"/>
          <w:szCs w:val="21"/>
          <w:highlight w:val="none"/>
        </w:rPr>
        <w:t>无人机航拍勾绘的实际施工作业面积为准。</w:t>
      </w:r>
    </w:p>
    <w:p w14:paraId="36F15396">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（三）验收申请、流程及返工处理</w:t>
      </w:r>
    </w:p>
    <w:p w14:paraId="23C0CECE">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1.验收申请：当中标人完成某一单项工序并自检合格后，报采购人技术员进行验收。</w:t>
      </w:r>
    </w:p>
    <w:p w14:paraId="2C34E7BC">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验收流程：采购人技术员接收到中标人验收申请后，在30个工作日内（如遇雨天等特殊情况除外）会同中标人进行验收，验收合格则签字确认，若不合格则由采购人技术员依合同约定及现场情况签发返工通知单，并说明返工要求及完工时间。中标人逾期不配合验收的，视为认可采购人单方验收结果。</w:t>
      </w:r>
    </w:p>
    <w:p w14:paraId="11B7D93B">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返工后验收：中标人应按要求组织返工，如中标人不按要求返工或拒不返工的，采购人有权选择单方面解除合同，并要求中标人赔偿因此给采购人造成的全部损失。返工结束并自检合格后，重新申请验收，若仍不合格的，采购人有权拒付中标人该工序不合格部分面积的承包费，并视情况有权选择单方面解除合同，且有权要求中标人赔偿因此给采购人造成的全部损失（包括但不限于工期延误损失、另行组织施工的费用等）。</w:t>
      </w:r>
    </w:p>
    <w:p w14:paraId="7959D460">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（四）费用支付与结算：</w:t>
      </w:r>
    </w:p>
    <w:p w14:paraId="3D18D0A5">
      <w:pPr>
        <w:keepNext w:val="0"/>
        <w:keepLines w:val="0"/>
        <w:pageBreakBefore w:val="0"/>
        <w:widowControl/>
        <w:numPr>
          <w:ilvl w:val="0"/>
          <w:numId w:val="3"/>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结算原则</w:t>
      </w:r>
    </w:p>
    <w:p w14:paraId="45639DFF">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历年林工程：</w:t>
      </w:r>
      <w:r>
        <w:rPr>
          <w:rFonts w:hint="eastAsia" w:ascii="宋体" w:hAnsi="宋体" w:eastAsia="宋体" w:cs="宋体"/>
          <w:color w:val="auto"/>
          <w:sz w:val="21"/>
          <w:szCs w:val="21"/>
          <w:highlight w:val="none"/>
          <w:lang w:val="en-US" w:eastAsia="zh-CN"/>
        </w:rPr>
        <w:t>单个工序</w:t>
      </w:r>
      <w:r>
        <w:rPr>
          <w:rFonts w:hint="eastAsia" w:ascii="宋体" w:hAnsi="宋体" w:eastAsia="宋体" w:cs="宋体"/>
          <w:color w:val="auto"/>
          <w:sz w:val="21"/>
          <w:szCs w:val="21"/>
          <w:highlight w:val="none"/>
        </w:rPr>
        <w:t>经验收合格后，按</w:t>
      </w:r>
      <w:r>
        <w:rPr>
          <w:rFonts w:hint="eastAsia" w:ascii="宋体" w:hAnsi="宋体" w:eastAsia="宋体" w:cs="宋体"/>
          <w:color w:val="auto"/>
          <w:sz w:val="21"/>
          <w:szCs w:val="21"/>
          <w:highlight w:val="none"/>
          <w:lang w:val="en-US" w:eastAsia="zh-CN"/>
        </w:rPr>
        <w:t>核</w:t>
      </w:r>
      <w:r>
        <w:rPr>
          <w:rFonts w:hint="eastAsia" w:ascii="宋体" w:hAnsi="宋体" w:eastAsia="宋体" w:cs="宋体"/>
          <w:color w:val="auto"/>
          <w:sz w:val="21"/>
          <w:szCs w:val="21"/>
          <w:highlight w:val="none"/>
        </w:rPr>
        <w:t>定面积进行一次性结算，不支付工程进度款。</w:t>
      </w:r>
    </w:p>
    <w:p w14:paraId="75D526F7">
      <w:pPr>
        <w:keepNext w:val="0"/>
        <w:keepLines w:val="0"/>
        <w:pageBreakBefore w:val="0"/>
        <w:widowControl/>
        <w:numPr>
          <w:ilvl w:val="0"/>
          <w:numId w:val="4"/>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新造林工程：按本条约定的方式支付工程进度款及办理竣工结算。</w:t>
      </w:r>
    </w:p>
    <w:p w14:paraId="7456C3C0">
      <w:pPr>
        <w:keepNext w:val="0"/>
        <w:keepLines w:val="0"/>
        <w:pageBreakBefore w:val="0"/>
        <w:widowControl/>
        <w:numPr>
          <w:ilvl w:val="0"/>
          <w:numId w:val="3"/>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新造林工程进度款支付</w:t>
      </w:r>
    </w:p>
    <w:p w14:paraId="6C42C23A">
      <w:pPr>
        <w:keepNext w:val="0"/>
        <w:keepLines w:val="0"/>
        <w:pageBreakBefore w:val="0"/>
        <w:widowControl/>
        <w:kinsoku/>
        <w:wordWrap/>
        <w:overflowPunct/>
        <w:topLinePunct w:val="0"/>
        <w:autoSpaceDE/>
        <w:autoSpaceDN/>
        <w:bidi w:val="0"/>
        <w:adjustRightInd/>
        <w:snapToGrid w:val="0"/>
        <w:spacing w:line="360" w:lineRule="auto"/>
        <w:ind w:right="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乙方按合同约定完成相应施工工序后，可就已完成的合格工程量向甲方申请支付进度款。经甲方审核确认，甲方按审定合格工程量的 70% 支付进度款。</w:t>
      </w:r>
    </w:p>
    <w:p w14:paraId="78099C29">
      <w:pPr>
        <w:keepNext w:val="0"/>
        <w:keepLines w:val="0"/>
        <w:pageBreakBefore w:val="0"/>
        <w:widowControl/>
        <w:numPr>
          <w:ilvl w:val="0"/>
          <w:numId w:val="3"/>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w:t>
      </w:r>
    </w:p>
    <w:p w14:paraId="5A0B79C5">
      <w:pPr>
        <w:keepNext w:val="0"/>
        <w:keepLines w:val="0"/>
        <w:pageBreakBefore w:val="0"/>
        <w:widowControl/>
        <w:numPr>
          <w:ilvl w:val="0"/>
          <w:numId w:val="5"/>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工程全部完工并经甲方最终验收合格后，双方按验收合格面积直接办理竣工结算。</w:t>
      </w:r>
    </w:p>
    <w:p w14:paraId="5BDE73B4">
      <w:pPr>
        <w:numPr>
          <w:ilvl w:val="0"/>
          <w:numId w:val="5"/>
        </w:numPr>
        <w:snapToGrid w:val="0"/>
        <w:spacing w:line="360" w:lineRule="auto"/>
        <w:ind w:left="425"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乙方应在结算手续启动前，向甲方开具合法有效的增值税普通发票。甲方在收到发票后的 20 个工作日内，支付结算余款。</w:t>
      </w:r>
    </w:p>
    <w:p w14:paraId="355CAC59">
      <w:pPr>
        <w:snapToGrid w:val="0"/>
        <w:spacing w:line="360" w:lineRule="auto"/>
        <w:jc w:val="left"/>
        <w:rPr>
          <w:rFonts w:hint="eastAsia" w:ascii="宋体" w:hAnsi="宋体" w:eastAsia="宋体" w:cs="宋体"/>
          <w:color w:val="auto"/>
          <w:sz w:val="21"/>
          <w:szCs w:val="21"/>
          <w:highlight w:val="none"/>
        </w:rPr>
      </w:pPr>
    </w:p>
    <w:p w14:paraId="25D16AF4">
      <w:pPr>
        <w:snapToGrid w:val="0"/>
        <w:jc w:val="left"/>
        <w:rPr>
          <w:rFonts w:hint="eastAsia" w:ascii="宋体" w:hAnsi="宋体" w:eastAsia="宋体" w:cs="宋体"/>
          <w:color w:val="auto"/>
          <w:sz w:val="21"/>
          <w:szCs w:val="21"/>
          <w:highlight w:val="none"/>
        </w:rPr>
      </w:pPr>
    </w:p>
    <w:p w14:paraId="6DE24790">
      <w:pPr>
        <w:snapToGrid w:val="0"/>
        <w:jc w:val="center"/>
        <w:rPr>
          <w:rFonts w:hint="eastAsia" w:ascii="宋体" w:hAnsi="宋体"/>
          <w:color w:val="auto"/>
          <w:sz w:val="30"/>
          <w:szCs w:val="30"/>
          <w:highlight w:val="none"/>
        </w:rPr>
      </w:pPr>
    </w:p>
    <w:p w14:paraId="6794FF37">
      <w:pPr>
        <w:snapToGrid w:val="0"/>
        <w:jc w:val="center"/>
        <w:rPr>
          <w:rFonts w:hint="eastAsia" w:ascii="宋体" w:hAnsi="宋体"/>
          <w:color w:val="auto"/>
          <w:sz w:val="30"/>
          <w:szCs w:val="30"/>
          <w:highlight w:val="none"/>
        </w:rPr>
      </w:pPr>
    </w:p>
    <w:p w14:paraId="00ABB69C">
      <w:pPr>
        <w:snapToGrid w:val="0"/>
        <w:jc w:val="center"/>
        <w:rPr>
          <w:rFonts w:hint="eastAsia" w:ascii="宋体" w:hAnsi="宋体"/>
          <w:color w:val="auto"/>
          <w:sz w:val="30"/>
          <w:szCs w:val="30"/>
          <w:highlight w:val="none"/>
        </w:rPr>
      </w:pPr>
    </w:p>
    <w:p w14:paraId="794264B1">
      <w:pPr>
        <w:snapToGrid w:val="0"/>
        <w:jc w:val="center"/>
        <w:rPr>
          <w:rFonts w:hint="eastAsia" w:ascii="宋体" w:hAnsi="宋体"/>
          <w:color w:val="auto"/>
          <w:sz w:val="30"/>
          <w:szCs w:val="30"/>
          <w:highlight w:val="none"/>
        </w:rPr>
      </w:pPr>
    </w:p>
    <w:p w14:paraId="51E7F696">
      <w:pPr>
        <w:snapToGrid w:val="0"/>
        <w:jc w:val="center"/>
        <w:rPr>
          <w:rFonts w:hint="eastAsia" w:ascii="宋体" w:hAnsi="宋体"/>
          <w:color w:val="auto"/>
          <w:sz w:val="30"/>
          <w:szCs w:val="30"/>
          <w:highlight w:val="none"/>
        </w:rPr>
      </w:pPr>
    </w:p>
    <w:p w14:paraId="5B21EB38">
      <w:pPr>
        <w:snapToGrid w:val="0"/>
        <w:jc w:val="center"/>
        <w:rPr>
          <w:rFonts w:hint="eastAsia" w:ascii="宋体" w:hAnsi="宋体"/>
          <w:color w:val="auto"/>
          <w:sz w:val="30"/>
          <w:szCs w:val="30"/>
          <w:highlight w:val="none"/>
        </w:rPr>
      </w:pPr>
    </w:p>
    <w:p w14:paraId="25D3CF2A">
      <w:pPr>
        <w:snapToGrid w:val="0"/>
        <w:jc w:val="center"/>
        <w:rPr>
          <w:rFonts w:hint="eastAsia" w:ascii="宋体" w:hAnsi="宋体"/>
          <w:color w:val="auto"/>
          <w:sz w:val="30"/>
          <w:szCs w:val="30"/>
          <w:highlight w:val="none"/>
        </w:rPr>
      </w:pPr>
    </w:p>
    <w:p w14:paraId="347D4373">
      <w:pPr>
        <w:snapToGrid w:val="0"/>
        <w:jc w:val="center"/>
        <w:rPr>
          <w:rFonts w:hint="eastAsia" w:ascii="宋体" w:hAnsi="宋体"/>
          <w:color w:val="auto"/>
          <w:sz w:val="30"/>
          <w:szCs w:val="30"/>
          <w:highlight w:val="none"/>
        </w:rPr>
      </w:pPr>
    </w:p>
    <w:p w14:paraId="4B8C13EA">
      <w:pPr>
        <w:snapToGrid w:val="0"/>
        <w:jc w:val="center"/>
        <w:rPr>
          <w:rFonts w:hint="eastAsia" w:ascii="宋体" w:hAnsi="宋体"/>
          <w:color w:val="auto"/>
          <w:sz w:val="30"/>
          <w:szCs w:val="30"/>
          <w:highlight w:val="none"/>
        </w:rPr>
      </w:pPr>
    </w:p>
    <w:p w14:paraId="11A0A00A">
      <w:pPr>
        <w:snapToGrid w:val="0"/>
        <w:jc w:val="center"/>
        <w:rPr>
          <w:rFonts w:hint="eastAsia" w:ascii="宋体" w:hAnsi="宋体"/>
          <w:color w:val="auto"/>
          <w:sz w:val="30"/>
          <w:szCs w:val="30"/>
          <w:highlight w:val="none"/>
        </w:rPr>
      </w:pPr>
    </w:p>
    <w:p w14:paraId="64B2C6BC">
      <w:pPr>
        <w:snapToGrid w:val="0"/>
        <w:jc w:val="center"/>
        <w:rPr>
          <w:rFonts w:hint="eastAsia" w:ascii="宋体" w:hAnsi="宋体"/>
          <w:color w:val="auto"/>
          <w:sz w:val="30"/>
          <w:szCs w:val="30"/>
          <w:highlight w:val="none"/>
        </w:rPr>
      </w:pPr>
    </w:p>
    <w:p w14:paraId="5BD5B307">
      <w:pPr>
        <w:snapToGrid w:val="0"/>
        <w:jc w:val="center"/>
        <w:rPr>
          <w:rFonts w:hint="eastAsia" w:ascii="宋体" w:hAnsi="宋体"/>
          <w:color w:val="auto"/>
          <w:sz w:val="30"/>
          <w:szCs w:val="30"/>
          <w:highlight w:val="none"/>
        </w:rPr>
      </w:pPr>
    </w:p>
    <w:p w14:paraId="17BEF8CC">
      <w:pPr>
        <w:snapToGrid w:val="0"/>
        <w:jc w:val="center"/>
        <w:rPr>
          <w:rFonts w:hint="eastAsia" w:ascii="宋体" w:hAnsi="宋体"/>
          <w:color w:val="auto"/>
          <w:sz w:val="30"/>
          <w:szCs w:val="30"/>
          <w:highlight w:val="none"/>
        </w:rPr>
      </w:pPr>
    </w:p>
    <w:p w14:paraId="713149E9">
      <w:pPr>
        <w:snapToGrid w:val="0"/>
        <w:jc w:val="center"/>
        <w:rPr>
          <w:rFonts w:hint="eastAsia" w:ascii="宋体" w:hAnsi="宋体"/>
          <w:color w:val="auto"/>
          <w:sz w:val="30"/>
          <w:szCs w:val="30"/>
          <w:highlight w:val="none"/>
        </w:rPr>
      </w:pPr>
    </w:p>
    <w:p w14:paraId="319AE9F8">
      <w:pPr>
        <w:snapToGrid w:val="0"/>
        <w:jc w:val="center"/>
        <w:rPr>
          <w:rFonts w:hint="eastAsia" w:ascii="宋体" w:hAnsi="宋体"/>
          <w:color w:val="auto"/>
          <w:sz w:val="30"/>
          <w:szCs w:val="30"/>
          <w:highlight w:val="none"/>
        </w:rPr>
      </w:pPr>
    </w:p>
    <w:p w14:paraId="4D782D15">
      <w:pPr>
        <w:snapToGrid w:val="0"/>
        <w:jc w:val="center"/>
        <w:rPr>
          <w:rFonts w:hint="eastAsia" w:ascii="宋体" w:hAnsi="宋体"/>
          <w:color w:val="auto"/>
          <w:sz w:val="30"/>
          <w:szCs w:val="30"/>
          <w:highlight w:val="none"/>
        </w:rPr>
      </w:pPr>
    </w:p>
    <w:p w14:paraId="1F8DEAF8">
      <w:pPr>
        <w:snapToGrid w:val="0"/>
        <w:jc w:val="both"/>
        <w:rPr>
          <w:rFonts w:hint="eastAsia" w:ascii="宋体" w:hAnsi="宋体"/>
          <w:b/>
          <w:bCs/>
          <w:color w:val="auto"/>
          <w:sz w:val="30"/>
          <w:szCs w:val="30"/>
          <w:highlight w:val="none"/>
          <w:lang w:val="en-US" w:eastAsia="zh-CN"/>
        </w:rPr>
      </w:pPr>
      <w:r>
        <w:rPr>
          <w:rFonts w:hint="eastAsia" w:ascii="宋体" w:hAnsi="宋体"/>
          <w:b/>
          <w:bCs/>
          <w:color w:val="auto"/>
          <w:sz w:val="30"/>
          <w:szCs w:val="30"/>
          <w:highlight w:val="none"/>
          <w:lang w:eastAsia="zh-CN"/>
        </w:rPr>
        <w:t>附件</w:t>
      </w:r>
      <w:r>
        <w:rPr>
          <w:rFonts w:hint="eastAsia" w:ascii="宋体" w:hAnsi="宋体"/>
          <w:b/>
          <w:bCs/>
          <w:color w:val="auto"/>
          <w:sz w:val="30"/>
          <w:szCs w:val="30"/>
          <w:highlight w:val="none"/>
          <w:lang w:val="en-US" w:eastAsia="zh-CN"/>
        </w:rPr>
        <w:t>1、广西国控林业投资股份有限公司2026年度中央财政森林修复（森林可持续经营）项目施工服务林地信息和施工工序信息表</w:t>
      </w:r>
    </w:p>
    <w:p w14:paraId="65A4BCD9">
      <w:pPr>
        <w:snapToGrid w:val="0"/>
        <w:jc w:val="both"/>
        <w:rPr>
          <w:rFonts w:hint="default" w:ascii="宋体" w:hAnsi="宋体" w:eastAsia="宋体"/>
          <w:color w:val="auto"/>
          <w:sz w:val="30"/>
          <w:szCs w:val="30"/>
          <w:highlight w:val="none"/>
          <w:lang w:val="en-US" w:eastAsia="zh-CN"/>
        </w:rPr>
        <w:sectPr>
          <w:footerReference r:id="rId3" w:type="default"/>
          <w:pgSz w:w="11906" w:h="16838"/>
          <w:pgMar w:top="992" w:right="1134" w:bottom="992" w:left="1134" w:header="851" w:footer="992" w:gutter="0"/>
          <w:pgNumType w:fmt="decimal" w:start="1"/>
          <w:cols w:space="720" w:num="1"/>
          <w:docGrid w:type="lines" w:linePitch="312" w:charSpace="0"/>
        </w:sectPr>
      </w:pPr>
    </w:p>
    <w:p w14:paraId="3BA761B7">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标项一</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69B6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2088B09">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88E8D4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24D9E76A">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72B9E8CD">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671FB139">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6BE4527F">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3198E583">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94C755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AF8FCF4">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F175180">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032A2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496468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A8A846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5CAB942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河池市天峨县纳直乡当里村6林班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002D808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single" w:color="000000" w:sz="4" w:space="0"/>
              <w:bottom w:val="nil"/>
              <w:right w:val="single" w:color="000000" w:sz="4" w:space="0"/>
            </w:tcBorders>
            <w:noWrap/>
            <w:vAlign w:val="center"/>
          </w:tcPr>
          <w:p w14:paraId="39DFBC3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844072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07ED1D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4421F5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48278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8B41EB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4DD670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3FF33AE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F9AFF2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single" w:color="000000" w:sz="4" w:space="0"/>
              <w:bottom w:val="nil"/>
              <w:right w:val="single" w:color="000000" w:sz="4" w:space="0"/>
            </w:tcBorders>
            <w:noWrap/>
            <w:vAlign w:val="center"/>
          </w:tcPr>
          <w:p w14:paraId="54C15F9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08FD64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C49F9C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1244AA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EB26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03A2AA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B0C909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07827F8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E76BBB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single" w:color="000000" w:sz="4" w:space="0"/>
              <w:bottom w:val="nil"/>
              <w:right w:val="single" w:color="000000" w:sz="4" w:space="0"/>
            </w:tcBorders>
            <w:noWrap/>
            <w:vAlign w:val="center"/>
          </w:tcPr>
          <w:p w14:paraId="29C2720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07107B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07EEE6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EEA1D3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63C5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627C53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73BDFF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02EB2DD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746D0D9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nil"/>
              <w:bottom w:val="single" w:color="000000" w:sz="4" w:space="0"/>
              <w:right w:val="single" w:color="000000" w:sz="4" w:space="0"/>
            </w:tcBorders>
            <w:noWrap w:val="0"/>
            <w:vAlign w:val="center"/>
          </w:tcPr>
          <w:p w14:paraId="43A509A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624A20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36CE04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73C455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37D7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BEB9BA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413220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5A4C669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9D0AB8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nil"/>
              <w:bottom w:val="single" w:color="000000" w:sz="4" w:space="0"/>
              <w:right w:val="single" w:color="000000" w:sz="4" w:space="0"/>
            </w:tcBorders>
            <w:noWrap w:val="0"/>
            <w:vAlign w:val="center"/>
          </w:tcPr>
          <w:p w14:paraId="3584318B">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A6FEFB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2FB05A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89C1DB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D27E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381D52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977763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6085EBD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2DF150A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nil"/>
              <w:bottom w:val="single" w:color="000000" w:sz="4" w:space="0"/>
              <w:right w:val="single" w:color="000000" w:sz="4" w:space="0"/>
            </w:tcBorders>
            <w:noWrap w:val="0"/>
            <w:vAlign w:val="center"/>
          </w:tcPr>
          <w:p w14:paraId="70ECCF44">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F027C1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14F60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F3A03A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D4C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0B9985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F35D21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4554278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22F839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w:t>
            </w:r>
          </w:p>
        </w:tc>
        <w:tc>
          <w:tcPr>
            <w:tcW w:w="1469" w:type="dxa"/>
            <w:tcBorders>
              <w:top w:val="single" w:color="000000" w:sz="4" w:space="0"/>
              <w:left w:val="nil"/>
              <w:bottom w:val="single" w:color="000000" w:sz="4" w:space="0"/>
              <w:right w:val="single" w:color="000000" w:sz="4" w:space="0"/>
            </w:tcBorders>
            <w:noWrap w:val="0"/>
            <w:vAlign w:val="center"/>
          </w:tcPr>
          <w:p w14:paraId="085FC75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979A4F4">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ED4D3C9">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9B0A88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C8E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006EA4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8F9B4B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018210B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95E9E8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4000米</w:t>
            </w:r>
          </w:p>
        </w:tc>
        <w:tc>
          <w:tcPr>
            <w:tcW w:w="1469" w:type="dxa"/>
            <w:tcBorders>
              <w:top w:val="single" w:color="000000" w:sz="4" w:space="0"/>
              <w:left w:val="nil"/>
              <w:bottom w:val="single" w:color="000000" w:sz="4" w:space="0"/>
              <w:right w:val="single" w:color="000000" w:sz="4" w:space="0"/>
            </w:tcBorders>
            <w:noWrap w:val="0"/>
            <w:vAlign w:val="center"/>
          </w:tcPr>
          <w:p w14:paraId="1E2427C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1E65BC7">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4D88D9E">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B0C7BB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1468798C">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rPr>
      </w:pPr>
    </w:p>
    <w:p w14:paraId="243EF3D4">
      <w:pPr>
        <w:snapToGrid w:val="0"/>
        <w:jc w:val="center"/>
        <w:rPr>
          <w:rFonts w:hint="eastAsia" w:ascii="宋体" w:hAnsi="宋体"/>
          <w:color w:val="auto"/>
          <w:sz w:val="30"/>
          <w:szCs w:val="30"/>
          <w:highlight w:val="none"/>
        </w:rPr>
      </w:pPr>
    </w:p>
    <w:p w14:paraId="5F7A9E8A">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标项二</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284A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54098F8">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20EB36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38FCA5D5">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254D1B0E">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20B90D1C">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06401BC0">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759890AE">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F607347">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66EE17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5B50CF6">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2466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522EC3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7B7E9B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3E6E347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河池市天峨县纳直乡当里村6林班、河池市天峨县纳直乡当里村8林班、河池市天峨县纳直乡当里村9林班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E36829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70C4ED0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EDEF93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FBC1C8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0AD6AE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62A5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158B73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13048B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1BDC180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32F50D0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73CD740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977218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359316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F7E7D8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05B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5CF3B3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AA6258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45E0C68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0557382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5FCEAC2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3C9071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146D11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BE289C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A964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744B32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A133B9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31E7F21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610D17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4C362B7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427679F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539EB2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D8A1EB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D6E1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B14679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95061D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6D5CBF5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AE5E5A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09331BC8">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4CF928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869C6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A1965C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BA9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C5F363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126AD4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439A437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F184D5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7D4E115F">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74A45C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E41657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B4473A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BA2D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8FA9B0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9C4627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251B5B3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DCCDDC9">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78D9A8F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647D640">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208E892">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015250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5EF8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E0C835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B777F8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5D8BABB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2064E3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9800米</w:t>
            </w:r>
          </w:p>
        </w:tc>
        <w:tc>
          <w:tcPr>
            <w:tcW w:w="1469" w:type="dxa"/>
            <w:tcBorders>
              <w:top w:val="single" w:color="000000" w:sz="4" w:space="0"/>
              <w:left w:val="nil"/>
              <w:bottom w:val="single" w:color="000000" w:sz="4" w:space="0"/>
              <w:right w:val="single" w:color="000000" w:sz="4" w:space="0"/>
            </w:tcBorders>
            <w:noWrap w:val="0"/>
            <w:vAlign w:val="center"/>
          </w:tcPr>
          <w:p w14:paraId="50E1AFE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B8C38E9">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AEB7132">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62F27F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698FA354">
      <w:pPr>
        <w:spacing w:line="560" w:lineRule="exact"/>
        <w:jc w:val="center"/>
        <w:rPr>
          <w:rFonts w:hint="eastAsia" w:ascii="仿宋_GB2312" w:hAnsi="宋体" w:eastAsia="仿宋_GB2312" w:cs="宋体"/>
          <w:b/>
          <w:bCs/>
          <w:color w:val="auto"/>
          <w:kern w:val="0"/>
          <w:sz w:val="44"/>
          <w:szCs w:val="44"/>
          <w:highlight w:val="none"/>
          <w:lang w:eastAsia="zh-CN"/>
        </w:rPr>
      </w:pPr>
    </w:p>
    <w:p w14:paraId="2CF3E37E">
      <w:pPr>
        <w:spacing w:line="560" w:lineRule="exact"/>
        <w:jc w:val="center"/>
        <w:rPr>
          <w:rFonts w:hint="eastAsia" w:ascii="仿宋_GB2312" w:hAnsi="宋体" w:eastAsia="仿宋_GB2312" w:cs="宋体"/>
          <w:b/>
          <w:bCs/>
          <w:color w:val="auto"/>
          <w:kern w:val="0"/>
          <w:sz w:val="44"/>
          <w:szCs w:val="44"/>
          <w:highlight w:val="none"/>
          <w:lang w:eastAsia="zh-CN"/>
        </w:rPr>
      </w:pPr>
    </w:p>
    <w:p w14:paraId="5175F7AA">
      <w:pPr>
        <w:spacing w:line="560" w:lineRule="exact"/>
        <w:jc w:val="center"/>
        <w:rPr>
          <w:rFonts w:hint="eastAsia" w:ascii="仿宋_GB2312" w:hAnsi="宋体" w:eastAsia="仿宋_GB2312" w:cs="宋体"/>
          <w:b/>
          <w:bCs/>
          <w:color w:val="auto"/>
          <w:kern w:val="0"/>
          <w:sz w:val="44"/>
          <w:szCs w:val="44"/>
          <w:highlight w:val="none"/>
          <w:lang w:eastAsia="zh-CN"/>
        </w:rPr>
      </w:pPr>
    </w:p>
    <w:p w14:paraId="7C20E515">
      <w:pPr>
        <w:spacing w:line="560" w:lineRule="exact"/>
        <w:jc w:val="center"/>
        <w:rPr>
          <w:rFonts w:hint="eastAsia" w:ascii="仿宋_GB2312" w:hAnsi="宋体" w:eastAsia="仿宋_GB2312" w:cs="宋体"/>
          <w:b/>
          <w:bCs/>
          <w:color w:val="auto"/>
          <w:kern w:val="0"/>
          <w:sz w:val="44"/>
          <w:szCs w:val="44"/>
          <w:highlight w:val="none"/>
          <w:lang w:eastAsia="zh-CN"/>
        </w:rPr>
      </w:pPr>
    </w:p>
    <w:p w14:paraId="516F06CC">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标项三</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3EDFB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A83B858">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7F17F7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068AB222">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3DFBB11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02CA8ACD">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36D61B5D">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5FF09700">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E82E7D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C74E3F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DB8850E">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5253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75AE36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FB311F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42746FB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河池市天峨县坡结乡坡结村1经营林班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376D4F5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00C59DC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44589C2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8F59DB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B43D0F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0E75F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C34A22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5A5F88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27A8E95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7EC300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2F4D0CB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BA929D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086886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A22EEB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346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934605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1AABC1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62D118B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8D6117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270296E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11D877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D7C4E2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B083EB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00A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A6A32E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CA81B9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2888F02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58E0DCC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7638566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9F3900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C6AC4E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F9DFDE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30A7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6980A8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4FF65A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3685B63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593523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17E7CD87">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39DBDA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8E0B8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8C495B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1FA6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7F4B08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B4103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2816449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D34F02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641CC73C">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BB3135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B35D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660539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427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814166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7F238F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5F56939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5917C6ED">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5CDC0FF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C72D32A">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11E6BD1">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393771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1B5D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FE9EAB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22B2AB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35445D5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88289F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1400</w:t>
            </w:r>
          </w:p>
        </w:tc>
        <w:tc>
          <w:tcPr>
            <w:tcW w:w="1469" w:type="dxa"/>
            <w:tcBorders>
              <w:top w:val="single" w:color="000000" w:sz="4" w:space="0"/>
              <w:left w:val="nil"/>
              <w:bottom w:val="single" w:color="000000" w:sz="4" w:space="0"/>
              <w:right w:val="single" w:color="000000" w:sz="4" w:space="0"/>
            </w:tcBorders>
            <w:noWrap w:val="0"/>
            <w:vAlign w:val="center"/>
          </w:tcPr>
          <w:p w14:paraId="7737A35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8D24F55">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0E6B7C9">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35563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7946FEEF">
      <w:pPr>
        <w:spacing w:line="560" w:lineRule="exact"/>
        <w:jc w:val="center"/>
        <w:rPr>
          <w:rFonts w:hint="eastAsia" w:ascii="仿宋_GB2312" w:hAnsi="宋体" w:eastAsia="仿宋_GB2312" w:cs="宋体"/>
          <w:b/>
          <w:bCs/>
          <w:color w:val="auto"/>
          <w:kern w:val="0"/>
          <w:sz w:val="44"/>
          <w:szCs w:val="44"/>
          <w:highlight w:val="none"/>
          <w:lang w:eastAsia="zh-CN"/>
        </w:rPr>
      </w:pPr>
    </w:p>
    <w:p w14:paraId="4987BF8D">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标项四</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4986C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B473467">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2B5514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23DCF001">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13AAA04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53F8CD3A">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5454E06A">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1BD3D7C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C1B65A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C4A9CE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98EA689">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42932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421965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A385F9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2D586C4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东兰县金谷乡、巴畴乡</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273AFDD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650B805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844255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E2647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F89F7F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705FD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F44D87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3FC5C9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061B2A7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3A4ACF3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3046F8D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C517A0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D238F05">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C28267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C25F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B94FA0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C17481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6C51829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7CF0F7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577475F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4434DB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240154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C17EA5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349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C0D36E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290C10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6B090AC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F8A781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280CEE7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23E078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5691B1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CECB9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6AFC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8D9B72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5A224B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67AFA92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6913D3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219A5BBB">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02213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22213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43D6B1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72FA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DC572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D18B6A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125C32A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BF3C49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5315E572">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009569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E79A35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55C98B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2383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C876EF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91B091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3AEACB1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761BD64C">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13A9E62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87C3B94">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9CE1737">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0E2094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DA58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75718F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EEAF60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595340A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5CE0E9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5000</w:t>
            </w:r>
          </w:p>
        </w:tc>
        <w:tc>
          <w:tcPr>
            <w:tcW w:w="1469" w:type="dxa"/>
            <w:tcBorders>
              <w:top w:val="single" w:color="000000" w:sz="4" w:space="0"/>
              <w:left w:val="nil"/>
              <w:bottom w:val="single" w:color="000000" w:sz="4" w:space="0"/>
              <w:right w:val="single" w:color="000000" w:sz="4" w:space="0"/>
            </w:tcBorders>
            <w:noWrap w:val="0"/>
            <w:vAlign w:val="center"/>
          </w:tcPr>
          <w:p w14:paraId="5B64C28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46A1216F">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B3B7B00">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17D7DB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55B31FD5">
      <w:pPr>
        <w:spacing w:line="560" w:lineRule="exact"/>
        <w:jc w:val="center"/>
        <w:rPr>
          <w:rFonts w:hint="eastAsia" w:ascii="仿宋_GB2312" w:hAnsi="宋体" w:eastAsia="仿宋_GB2312" w:cs="宋体"/>
          <w:b/>
          <w:bCs/>
          <w:color w:val="auto"/>
          <w:kern w:val="0"/>
          <w:sz w:val="44"/>
          <w:szCs w:val="44"/>
          <w:highlight w:val="none"/>
          <w:lang w:eastAsia="zh-CN"/>
        </w:rPr>
      </w:pPr>
    </w:p>
    <w:p w14:paraId="3A65EE0D">
      <w:pPr>
        <w:spacing w:line="560" w:lineRule="exact"/>
        <w:jc w:val="center"/>
        <w:rPr>
          <w:rFonts w:hint="eastAsia" w:ascii="仿宋_GB2312" w:hAnsi="宋体" w:eastAsia="仿宋_GB2312" w:cs="宋体"/>
          <w:b/>
          <w:bCs/>
          <w:color w:val="auto"/>
          <w:kern w:val="0"/>
          <w:sz w:val="44"/>
          <w:szCs w:val="44"/>
          <w:highlight w:val="none"/>
          <w:lang w:eastAsia="zh-CN"/>
        </w:rPr>
      </w:pPr>
    </w:p>
    <w:p w14:paraId="0C2A9E58">
      <w:pPr>
        <w:spacing w:line="560" w:lineRule="exact"/>
        <w:jc w:val="center"/>
        <w:rPr>
          <w:rFonts w:hint="eastAsia" w:ascii="仿宋_GB2312" w:hAnsi="宋体" w:eastAsia="仿宋_GB2312" w:cs="宋体"/>
          <w:b/>
          <w:bCs/>
          <w:color w:val="auto"/>
          <w:kern w:val="0"/>
          <w:sz w:val="44"/>
          <w:szCs w:val="44"/>
          <w:highlight w:val="none"/>
          <w:lang w:eastAsia="zh-CN"/>
        </w:rPr>
      </w:pPr>
    </w:p>
    <w:p w14:paraId="36B156C6">
      <w:pPr>
        <w:spacing w:line="560" w:lineRule="exact"/>
        <w:jc w:val="center"/>
        <w:rPr>
          <w:rFonts w:hint="eastAsia" w:ascii="仿宋_GB2312" w:hAnsi="宋体" w:eastAsia="仿宋_GB2312" w:cs="宋体"/>
          <w:b/>
          <w:bCs/>
          <w:color w:val="auto"/>
          <w:kern w:val="0"/>
          <w:sz w:val="44"/>
          <w:szCs w:val="44"/>
          <w:highlight w:val="none"/>
          <w:lang w:eastAsia="zh-CN"/>
        </w:rPr>
      </w:pPr>
    </w:p>
    <w:p w14:paraId="772B7154">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标项五</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13EEE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21DAE1B">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B389C8E">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4CB6B6D7">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1FBF3BD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6C8F8E0D">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6276018D">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582F19A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70EB18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FE249AF">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03D6634">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431F9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0DD693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457889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4A2FDDB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河池市天峨县下老乡纳明村1经营林班、河池市天峨县向阳镇党隘村4经营林班、河池市天峨县向阳镇党隘村6经营林班、河池市天峨县向阳镇党隘村8经营林班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5248ADA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01BC4B8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27B1B3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将林地上的杂草、杂灌、藤类等植物全部清除，留存高度不得超过 20cm,植株周边的杂草及缠绕在植株上的藤蔓要通过手工方式拔除，不得损伤植株。</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811E8C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C5DB12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323F1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5A5F7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23111B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61AFA76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0529E0C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6A63F66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8B245B5">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99E6DD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7E1434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122E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27598E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091030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4362DFB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0B9CB4F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2C64C2B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9BF5D6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E0AF00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0BAD80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CA5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0A16ED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AFC580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54FE2CD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CC98A3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4CA16C3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3F8166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1.对伐倒木进行打枝及铲皮作业，打枝要求用小斧头进行，从伐倒木的根部向梢部方向将枝丫砍除，要求斧口平滑，铲皮使用铲皮刀进行，要求不损伤木质部。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A0296C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6BFEF7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3F11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5CC58A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DED6F4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0E096E8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D7DB9A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1B5C7247">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971307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1.现有林区道路的，将林路上方150m、林路下方80m范围内，尾径大于6cm的木材归集到林道边指定地点，对于无路或偏远一些小班6cm以上的木材也尽量归集到林道边指定地点。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CB9E91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7E25F0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B9EB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D21E90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6198CB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7528946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5A460E3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517A0AB4">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2F987E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1.施肥量0.5kg/株。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2.一树一坑，坑规格为:坑面宽40cm，深20cm，底宽20cm，挖坑位置在两株树之间面对上坡于等高线上方处、离树根 80-100cm;若两树间隔较远，则选择在离树根80-100cm处、面对上坡于等高线上方处各挖一个坑，都需避开伐桩。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3.施肥回坑。量取 0.5kg肥料，均匀撒施在坑的上方或下方，将该部分的肥料和土回到坑内，达到拌肥的效果，采用少量多次，把有肥料的土全部回到坑内，再踩一踩压实土。每次施肥后均要求回收肥料包装袋，整理清点记录数量，确认后集中统一处理。必须有监工人员全程跟踪监督、检查，确保肥料均匀和足量。</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132FC7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1BA438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AB6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88DF24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1102F9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568770A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47019C3">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537C473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1D5304D">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204DE9C">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030D68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0D7B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0A905B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13C9AB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7B86E8C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73B345A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12900米</w:t>
            </w:r>
          </w:p>
        </w:tc>
        <w:tc>
          <w:tcPr>
            <w:tcW w:w="1469" w:type="dxa"/>
            <w:tcBorders>
              <w:top w:val="single" w:color="000000" w:sz="4" w:space="0"/>
              <w:left w:val="nil"/>
              <w:bottom w:val="single" w:color="000000" w:sz="4" w:space="0"/>
              <w:right w:val="single" w:color="000000" w:sz="4" w:space="0"/>
            </w:tcBorders>
            <w:noWrap w:val="0"/>
            <w:vAlign w:val="center"/>
          </w:tcPr>
          <w:p w14:paraId="7694B5D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5837C75">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06038E2">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F9D90C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65ED1122">
      <w:pPr>
        <w:snapToGrid w:val="0"/>
        <w:jc w:val="center"/>
        <w:rPr>
          <w:rFonts w:hint="eastAsia" w:ascii="宋体" w:hAnsi="宋体"/>
          <w:color w:val="auto"/>
          <w:sz w:val="30"/>
          <w:szCs w:val="30"/>
          <w:highlight w:val="none"/>
        </w:rPr>
      </w:pPr>
    </w:p>
    <w:p w14:paraId="217886F8">
      <w:pPr>
        <w:snapToGrid w:val="0"/>
        <w:jc w:val="center"/>
        <w:rPr>
          <w:rFonts w:hint="eastAsia" w:ascii="宋体" w:hAnsi="宋体"/>
          <w:color w:val="auto"/>
          <w:sz w:val="30"/>
          <w:szCs w:val="30"/>
          <w:highlight w:val="none"/>
        </w:rPr>
        <w:sectPr>
          <w:footerReference r:id="rId4" w:type="default"/>
          <w:pgSz w:w="16838" w:h="11906" w:orient="landscape"/>
          <w:pgMar w:top="1134" w:right="992" w:bottom="1134" w:left="992" w:header="851" w:footer="992" w:gutter="0"/>
          <w:pgNumType w:fmt="decimal" w:start="11"/>
          <w:cols w:space="720" w:num="1"/>
          <w:docGrid w:type="lines" w:linePitch="312" w:charSpace="0"/>
        </w:sectPr>
      </w:pPr>
    </w:p>
    <w:p w14:paraId="32595649">
      <w:pPr>
        <w:jc w:val="both"/>
        <w:rPr>
          <w:rFonts w:hint="eastAsia"/>
          <w:b/>
          <w:bCs/>
          <w:color w:val="auto"/>
          <w:sz w:val="36"/>
          <w:szCs w:val="44"/>
          <w:highlight w:val="none"/>
          <w:lang w:eastAsia="zh-CN"/>
        </w:rPr>
      </w:pPr>
      <w:r>
        <w:rPr>
          <w:rFonts w:hint="eastAsia"/>
          <w:b/>
          <w:bCs/>
          <w:color w:val="auto"/>
          <w:sz w:val="36"/>
          <w:szCs w:val="44"/>
          <w:highlight w:val="none"/>
          <w:lang w:eastAsia="zh-CN"/>
        </w:rPr>
        <w:t>附件二更正后采购需求：</w:t>
      </w:r>
    </w:p>
    <w:p w14:paraId="5BEC90D3">
      <w:pPr>
        <w:pStyle w:val="2"/>
        <w:keepNext w:val="0"/>
        <w:keepLines w:val="0"/>
        <w:numPr>
          <w:ilvl w:val="0"/>
          <w:numId w:val="2"/>
        </w:numPr>
        <w:tabs>
          <w:tab w:val="left" w:pos="0"/>
          <w:tab w:val="left" w:pos="3165"/>
          <w:tab w:val="center" w:pos="4153"/>
        </w:tabs>
        <w:autoSpaceDE w:val="0"/>
        <w:autoSpaceDN w:val="0"/>
        <w:adjustRightInd w:val="0"/>
        <w:spacing w:before="0" w:after="0" w:line="480" w:lineRule="auto"/>
        <w:jc w:val="center"/>
        <w:rPr>
          <w:rFonts w:hint="eastAsia"/>
          <w:color w:val="auto"/>
          <w:highlight w:val="none"/>
        </w:rPr>
      </w:pPr>
      <w:r>
        <w:rPr>
          <w:rFonts w:hint="eastAsia"/>
          <w:color w:val="auto"/>
          <w:highlight w:val="none"/>
        </w:rPr>
        <w:t xml:space="preserve"> 采购需求</w:t>
      </w:r>
    </w:p>
    <w:p w14:paraId="3952776D">
      <w:pPr>
        <w:numPr>
          <w:ilvl w:val="0"/>
          <w:numId w:val="0"/>
        </w:numPr>
        <w:rPr>
          <w:rFonts w:hint="eastAsia"/>
          <w:color w:val="auto"/>
          <w:highlight w:val="none"/>
        </w:rPr>
      </w:pPr>
    </w:p>
    <w:p w14:paraId="473FCCEC">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 项目基本情况</w:t>
      </w:r>
    </w:p>
    <w:p w14:paraId="67682D7B">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采购人油茶林地需要开展追肥等营林施工作业。为保障油茶树健康生长，计划组织开展施工。</w:t>
      </w:r>
    </w:p>
    <w:p w14:paraId="5A1E9298">
      <w:pPr>
        <w:spacing w:line="360" w:lineRule="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（一）各标段基本情况：</w:t>
      </w: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36A3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2BF689D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0DD5D76D">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14E1684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3CD5D7D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2011527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9C8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3749CB5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w:t>
            </w:r>
            <w:r>
              <w:rPr>
                <w:rFonts w:hint="eastAsia" w:ascii="宋体" w:hAnsi="宋体" w:eastAsia="宋体" w:cs="宋体"/>
                <w:color w:val="auto"/>
                <w:sz w:val="21"/>
                <w:szCs w:val="21"/>
                <w:highlight w:val="none"/>
              </w:rPr>
              <w:t>一</w:t>
            </w:r>
          </w:p>
        </w:tc>
        <w:tc>
          <w:tcPr>
            <w:tcW w:w="2683" w:type="dxa"/>
            <w:noWrap w:val="0"/>
            <w:vAlign w:val="center"/>
          </w:tcPr>
          <w:p w14:paraId="3895C71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1D2A661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河池市天峨县纳直乡当里村6林班</w:t>
            </w:r>
          </w:p>
        </w:tc>
        <w:tc>
          <w:tcPr>
            <w:tcW w:w="1276" w:type="dxa"/>
            <w:noWrap w:val="0"/>
            <w:vAlign w:val="center"/>
          </w:tcPr>
          <w:p w14:paraId="2D23060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330.6</w:t>
            </w:r>
          </w:p>
        </w:tc>
        <w:tc>
          <w:tcPr>
            <w:tcW w:w="1281" w:type="dxa"/>
            <w:noWrap w:val="0"/>
            <w:vAlign w:val="center"/>
          </w:tcPr>
          <w:p w14:paraId="22CE5E3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5B984AAB">
      <w:pPr>
        <w:snapToGrid w:val="0"/>
        <w:jc w:val="left"/>
        <w:rPr>
          <w:rFonts w:hint="eastAsia" w:ascii="宋体" w:hAnsi="宋体" w:eastAsia="宋体" w:cs="宋体"/>
          <w:color w:val="auto"/>
          <w:sz w:val="21"/>
          <w:szCs w:val="21"/>
          <w:highlight w:val="none"/>
        </w:rPr>
      </w:pPr>
    </w:p>
    <w:p w14:paraId="73E28FBB">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08A3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3CE57BBA">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2FF6C48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3821CFA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1E753B89">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65B88F75">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5931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7929DFB9">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项二</w:t>
            </w:r>
          </w:p>
        </w:tc>
        <w:tc>
          <w:tcPr>
            <w:tcW w:w="2683" w:type="dxa"/>
            <w:noWrap w:val="0"/>
            <w:vAlign w:val="center"/>
          </w:tcPr>
          <w:p w14:paraId="58564AE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5067FC4F">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河池市天峨县纳直乡当里村6林班、河池市天峨县纳直乡当里村8林班、河池市天峨县纳直乡当里村9林班</w:t>
            </w:r>
          </w:p>
        </w:tc>
        <w:tc>
          <w:tcPr>
            <w:tcW w:w="1276" w:type="dxa"/>
            <w:noWrap w:val="0"/>
            <w:vAlign w:val="center"/>
          </w:tcPr>
          <w:p w14:paraId="3DFBA13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586.2</w:t>
            </w:r>
          </w:p>
        </w:tc>
        <w:tc>
          <w:tcPr>
            <w:tcW w:w="1281" w:type="dxa"/>
            <w:noWrap w:val="0"/>
            <w:vAlign w:val="center"/>
          </w:tcPr>
          <w:p w14:paraId="4DCAC10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24F6A0B4">
      <w:pPr>
        <w:snapToGrid w:val="0"/>
        <w:jc w:val="left"/>
        <w:rPr>
          <w:rFonts w:hint="eastAsia" w:ascii="宋体" w:hAnsi="宋体" w:eastAsia="宋体" w:cs="宋体"/>
          <w:color w:val="auto"/>
          <w:sz w:val="21"/>
          <w:szCs w:val="21"/>
          <w:highlight w:val="none"/>
        </w:rPr>
      </w:pPr>
    </w:p>
    <w:p w14:paraId="42DF2AEB">
      <w:pPr>
        <w:snapToGrid w:val="0"/>
        <w:jc w:val="left"/>
        <w:rPr>
          <w:rFonts w:hint="eastAsia" w:ascii="宋体" w:hAnsi="宋体" w:eastAsia="宋体" w:cs="宋体"/>
          <w:color w:val="auto"/>
          <w:sz w:val="21"/>
          <w:szCs w:val="21"/>
          <w:highlight w:val="none"/>
        </w:rPr>
      </w:pPr>
    </w:p>
    <w:p w14:paraId="4631D60B">
      <w:pPr>
        <w:snapToGrid w:val="0"/>
        <w:jc w:val="left"/>
        <w:rPr>
          <w:rFonts w:hint="eastAsia" w:ascii="宋体" w:hAnsi="宋体" w:eastAsia="宋体" w:cs="宋体"/>
          <w:color w:val="auto"/>
          <w:sz w:val="21"/>
          <w:szCs w:val="21"/>
          <w:highlight w:val="none"/>
        </w:rPr>
      </w:pPr>
    </w:p>
    <w:p w14:paraId="1E730C19">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121D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10DCDE35">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63EC115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14F6526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1DC06F4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1B600ED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48EC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55F07990">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项三</w:t>
            </w:r>
          </w:p>
        </w:tc>
        <w:tc>
          <w:tcPr>
            <w:tcW w:w="2683" w:type="dxa"/>
            <w:noWrap w:val="0"/>
            <w:vAlign w:val="center"/>
          </w:tcPr>
          <w:p w14:paraId="035192E9">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43518DF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河池市天峨县坡结乡坡结村1经营林班</w:t>
            </w:r>
          </w:p>
        </w:tc>
        <w:tc>
          <w:tcPr>
            <w:tcW w:w="1276" w:type="dxa"/>
            <w:noWrap w:val="0"/>
            <w:vAlign w:val="center"/>
          </w:tcPr>
          <w:p w14:paraId="6C92F18B">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213.9</w:t>
            </w:r>
          </w:p>
        </w:tc>
        <w:tc>
          <w:tcPr>
            <w:tcW w:w="1281" w:type="dxa"/>
            <w:noWrap w:val="0"/>
            <w:vAlign w:val="center"/>
          </w:tcPr>
          <w:p w14:paraId="7D668FAD">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65487D20">
      <w:pPr>
        <w:snapToGrid w:val="0"/>
        <w:jc w:val="left"/>
        <w:rPr>
          <w:rFonts w:hint="eastAsia" w:ascii="宋体" w:hAnsi="宋体" w:eastAsia="宋体" w:cs="宋体"/>
          <w:color w:val="auto"/>
          <w:sz w:val="21"/>
          <w:szCs w:val="21"/>
          <w:highlight w:val="none"/>
        </w:rPr>
      </w:pPr>
    </w:p>
    <w:p w14:paraId="4578497F">
      <w:pPr>
        <w:snapToGrid w:val="0"/>
        <w:jc w:val="left"/>
        <w:rPr>
          <w:rFonts w:hint="eastAsia" w:ascii="宋体" w:hAnsi="宋体" w:eastAsia="宋体" w:cs="宋体"/>
          <w:color w:val="auto"/>
          <w:sz w:val="21"/>
          <w:szCs w:val="21"/>
          <w:highlight w:val="none"/>
        </w:rPr>
      </w:pPr>
    </w:p>
    <w:p w14:paraId="145E4FDF">
      <w:pPr>
        <w:snapToGrid w:val="0"/>
        <w:jc w:val="left"/>
        <w:rPr>
          <w:rFonts w:hint="eastAsia" w:ascii="宋体" w:hAnsi="宋体" w:eastAsia="宋体" w:cs="宋体"/>
          <w:color w:val="auto"/>
          <w:sz w:val="21"/>
          <w:szCs w:val="21"/>
          <w:highlight w:val="none"/>
        </w:rPr>
      </w:pPr>
    </w:p>
    <w:p w14:paraId="333B6113">
      <w:pPr>
        <w:snapToGrid w:val="0"/>
        <w:jc w:val="left"/>
        <w:rPr>
          <w:rFonts w:hint="eastAsia" w:ascii="宋体" w:hAnsi="宋体" w:eastAsia="宋体" w:cs="宋体"/>
          <w:color w:val="auto"/>
          <w:sz w:val="21"/>
          <w:szCs w:val="21"/>
          <w:highlight w:val="none"/>
        </w:rPr>
      </w:pPr>
    </w:p>
    <w:p w14:paraId="43119F6F">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5B72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40B1951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5A7A188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3062C91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4E8D0C7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57988EC9">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41DB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24F0E012">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项四</w:t>
            </w:r>
          </w:p>
        </w:tc>
        <w:tc>
          <w:tcPr>
            <w:tcW w:w="2683" w:type="dxa"/>
            <w:noWrap w:val="0"/>
            <w:vAlign w:val="center"/>
          </w:tcPr>
          <w:p w14:paraId="287E099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2FDCBEDD">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东兰县金谷乡、巴畴乡</w:t>
            </w:r>
          </w:p>
        </w:tc>
        <w:tc>
          <w:tcPr>
            <w:tcW w:w="1276" w:type="dxa"/>
            <w:noWrap w:val="0"/>
            <w:vAlign w:val="center"/>
          </w:tcPr>
          <w:p w14:paraId="2771EDAA">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362.4</w:t>
            </w:r>
          </w:p>
        </w:tc>
        <w:tc>
          <w:tcPr>
            <w:tcW w:w="1281" w:type="dxa"/>
            <w:noWrap w:val="0"/>
            <w:vAlign w:val="center"/>
          </w:tcPr>
          <w:p w14:paraId="7D6DE72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05441DD9">
      <w:pPr>
        <w:snapToGrid w:val="0"/>
        <w:jc w:val="left"/>
        <w:rPr>
          <w:rFonts w:hint="eastAsia" w:ascii="宋体" w:hAnsi="宋体" w:eastAsia="宋体" w:cs="宋体"/>
          <w:color w:val="auto"/>
          <w:sz w:val="21"/>
          <w:szCs w:val="21"/>
          <w:highlight w:val="none"/>
        </w:rPr>
      </w:pPr>
    </w:p>
    <w:p w14:paraId="72FF66FF">
      <w:pPr>
        <w:snapToGrid w:val="0"/>
        <w:jc w:val="left"/>
        <w:rPr>
          <w:rFonts w:hint="eastAsia" w:ascii="宋体" w:hAnsi="宋体" w:eastAsia="宋体" w:cs="宋体"/>
          <w:color w:val="auto"/>
          <w:sz w:val="21"/>
          <w:szCs w:val="21"/>
          <w:highlight w:val="none"/>
        </w:rPr>
      </w:pPr>
    </w:p>
    <w:p w14:paraId="328A8FC3">
      <w:pPr>
        <w:snapToGrid w:val="0"/>
        <w:jc w:val="left"/>
        <w:rPr>
          <w:rFonts w:hint="eastAsia" w:ascii="宋体" w:hAnsi="宋体" w:eastAsia="宋体" w:cs="宋体"/>
          <w:color w:val="auto"/>
          <w:sz w:val="21"/>
          <w:szCs w:val="21"/>
          <w:highlight w:val="none"/>
        </w:rPr>
      </w:pPr>
    </w:p>
    <w:tbl>
      <w:tblPr>
        <w:tblStyle w:val="10"/>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2683"/>
        <w:gridCol w:w="2835"/>
        <w:gridCol w:w="1276"/>
        <w:gridCol w:w="1281"/>
      </w:tblGrid>
      <w:tr w14:paraId="2966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7B6DA08A">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w:t>
            </w:r>
          </w:p>
        </w:tc>
        <w:tc>
          <w:tcPr>
            <w:tcW w:w="2683" w:type="dxa"/>
            <w:noWrap w:val="0"/>
            <w:vAlign w:val="center"/>
          </w:tcPr>
          <w:p w14:paraId="00BE806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要求人数</w:t>
            </w:r>
          </w:p>
        </w:tc>
        <w:tc>
          <w:tcPr>
            <w:tcW w:w="2835" w:type="dxa"/>
            <w:noWrap w:val="0"/>
            <w:vAlign w:val="center"/>
          </w:tcPr>
          <w:p w14:paraId="6B19912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施工区域</w:t>
            </w:r>
          </w:p>
        </w:tc>
        <w:tc>
          <w:tcPr>
            <w:tcW w:w="1276" w:type="dxa"/>
            <w:noWrap w:val="0"/>
            <w:vAlign w:val="center"/>
          </w:tcPr>
          <w:p w14:paraId="26B28AF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计划施工面积（亩）</w:t>
            </w:r>
          </w:p>
        </w:tc>
        <w:tc>
          <w:tcPr>
            <w:tcW w:w="1281" w:type="dxa"/>
            <w:noWrap w:val="0"/>
            <w:vAlign w:val="center"/>
          </w:tcPr>
          <w:p w14:paraId="3A0D83D8">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EA8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3" w:type="dxa"/>
            <w:noWrap w:val="0"/>
            <w:vAlign w:val="center"/>
          </w:tcPr>
          <w:p w14:paraId="1DCFE203">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标</w:t>
            </w:r>
            <w:r>
              <w:rPr>
                <w:rFonts w:hint="eastAsia" w:ascii="宋体" w:hAnsi="宋体" w:eastAsia="宋体" w:cs="宋体"/>
                <w:color w:val="auto"/>
                <w:sz w:val="21"/>
                <w:szCs w:val="21"/>
                <w:highlight w:val="none"/>
                <w:lang w:eastAsia="zh-CN"/>
              </w:rPr>
              <w:t>项五</w:t>
            </w:r>
          </w:p>
        </w:tc>
        <w:tc>
          <w:tcPr>
            <w:tcW w:w="2683" w:type="dxa"/>
            <w:noWrap w:val="0"/>
            <w:vAlign w:val="center"/>
          </w:tcPr>
          <w:p w14:paraId="310518F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要求18-60周岁的适龄施工人员不少于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人，</w:t>
            </w:r>
            <w:r>
              <w:rPr>
                <w:rFonts w:hint="eastAsia" w:ascii="宋体" w:hAnsi="宋体" w:eastAsia="宋体" w:cs="宋体"/>
                <w:color w:val="auto"/>
                <w:kern w:val="0"/>
                <w:sz w:val="21"/>
                <w:szCs w:val="21"/>
                <w:highlight w:val="none"/>
              </w:rPr>
              <w:t>且所有人员均须在进场施工前购买个人意外伤害保险</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rPr>
              <w:t>，投标时可提供承诺书（承诺中标后进场前完成保险购买及人员配备），保险单复印件可在进场前补交。</w:t>
            </w:r>
          </w:p>
        </w:tc>
        <w:tc>
          <w:tcPr>
            <w:tcW w:w="2835" w:type="dxa"/>
            <w:noWrap w:val="0"/>
            <w:vAlign w:val="center"/>
          </w:tcPr>
          <w:p w14:paraId="3FA5A3C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河池市天峨县下老乡纳明村1经营林班、河池市天峨县向阳镇党隘村4经营林班、河池市天峨县向阳镇党隘村6经营林班、河池市天峨县向阳镇党隘村8经营林班</w:t>
            </w:r>
          </w:p>
        </w:tc>
        <w:tc>
          <w:tcPr>
            <w:tcW w:w="1276" w:type="dxa"/>
            <w:noWrap w:val="0"/>
            <w:vAlign w:val="center"/>
          </w:tcPr>
          <w:p w14:paraId="5F909E03">
            <w:pPr>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712.8</w:t>
            </w:r>
          </w:p>
        </w:tc>
        <w:tc>
          <w:tcPr>
            <w:tcW w:w="1281" w:type="dxa"/>
            <w:noWrap w:val="0"/>
            <w:vAlign w:val="center"/>
          </w:tcPr>
          <w:p w14:paraId="0A8DD27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结算面积以</w:t>
            </w:r>
            <w:r>
              <w:rPr>
                <w:rFonts w:hint="eastAsia" w:ascii="宋体" w:hAnsi="宋体" w:eastAsia="宋体" w:cs="宋体"/>
                <w:color w:val="auto"/>
                <w:sz w:val="21"/>
                <w:szCs w:val="21"/>
                <w:highlight w:val="none"/>
                <w:lang w:val="en-US" w:eastAsia="zh-CN"/>
              </w:rPr>
              <w:t>无人机航拍勾绘的实际施工作业</w:t>
            </w:r>
            <w:r>
              <w:rPr>
                <w:rFonts w:hint="eastAsia" w:ascii="宋体" w:hAnsi="宋体" w:eastAsia="宋体" w:cs="宋体"/>
                <w:color w:val="auto"/>
                <w:sz w:val="21"/>
                <w:szCs w:val="21"/>
                <w:highlight w:val="none"/>
              </w:rPr>
              <w:t>面积为准。</w:t>
            </w:r>
          </w:p>
        </w:tc>
      </w:tr>
    </w:tbl>
    <w:p w14:paraId="11663F95">
      <w:pPr>
        <w:snapToGrid w:val="0"/>
        <w:jc w:val="left"/>
        <w:rPr>
          <w:rFonts w:hint="eastAsia" w:ascii="宋体" w:hAnsi="宋体" w:eastAsia="宋体" w:cs="宋体"/>
          <w:color w:val="auto"/>
          <w:sz w:val="21"/>
          <w:szCs w:val="21"/>
          <w:highlight w:val="none"/>
        </w:rPr>
      </w:pPr>
    </w:p>
    <w:p w14:paraId="7A271A99">
      <w:pPr>
        <w:snapToGrid w:val="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（二）技术要求和质量标准：</w:t>
      </w:r>
    </w:p>
    <w:p w14:paraId="19952934">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以下是各施工工序对应的技术要求及质量标准，同时作为项目验收标准。</w:t>
      </w:r>
    </w:p>
    <w:tbl>
      <w:tblPr>
        <w:tblStyle w:val="10"/>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450"/>
        <w:gridCol w:w="6479"/>
      </w:tblGrid>
      <w:tr w14:paraId="1226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noWrap w:val="0"/>
            <w:vAlign w:val="center"/>
          </w:tcPr>
          <w:p w14:paraId="459D7629">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w:t>
            </w:r>
          </w:p>
        </w:tc>
        <w:tc>
          <w:tcPr>
            <w:tcW w:w="1450" w:type="dxa"/>
            <w:noWrap w:val="0"/>
            <w:vAlign w:val="center"/>
          </w:tcPr>
          <w:p w14:paraId="190BBC93">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工序类型</w:t>
            </w:r>
          </w:p>
        </w:tc>
        <w:tc>
          <w:tcPr>
            <w:tcW w:w="6479" w:type="dxa"/>
            <w:noWrap w:val="0"/>
            <w:vAlign w:val="center"/>
          </w:tcPr>
          <w:p w14:paraId="15379FAB">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技术要求</w:t>
            </w:r>
          </w:p>
        </w:tc>
      </w:tr>
      <w:tr w14:paraId="4E0C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restart"/>
            <w:noWrap w:val="0"/>
            <w:vAlign w:val="center"/>
          </w:tcPr>
          <w:p w14:paraId="09E35A07">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适用于标项一、二、三、四、五</w:t>
            </w:r>
          </w:p>
        </w:tc>
        <w:tc>
          <w:tcPr>
            <w:tcW w:w="1450" w:type="dxa"/>
            <w:noWrap w:val="0"/>
            <w:vAlign w:val="center"/>
          </w:tcPr>
          <w:p w14:paraId="4946173E">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割灌除草抚育</w:t>
            </w:r>
          </w:p>
        </w:tc>
        <w:tc>
          <w:tcPr>
            <w:tcW w:w="6479" w:type="dxa"/>
            <w:noWrap w:val="0"/>
            <w:vAlign w:val="center"/>
          </w:tcPr>
          <w:p w14:paraId="68180DFB">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将林地上的杂草、杂灌、藤类等植物全部清除，留存高度不得超过 20cm。</w:t>
            </w:r>
          </w:p>
        </w:tc>
      </w:tr>
      <w:tr w14:paraId="086B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00C1AF2D">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6F2002BC">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标记采伐木</w:t>
            </w:r>
          </w:p>
        </w:tc>
        <w:tc>
          <w:tcPr>
            <w:tcW w:w="6479" w:type="dxa"/>
            <w:noWrap w:val="0"/>
            <w:vAlign w:val="center"/>
          </w:tcPr>
          <w:p w14:paraId="6D5B56F5">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r>
      <w:tr w14:paraId="575E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2270D12D">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4522FBEC">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间伐</w:t>
            </w:r>
          </w:p>
        </w:tc>
        <w:tc>
          <w:tcPr>
            <w:tcW w:w="6479" w:type="dxa"/>
            <w:noWrap w:val="0"/>
            <w:vAlign w:val="center"/>
          </w:tcPr>
          <w:p w14:paraId="412AA8E4">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r>
      <w:tr w14:paraId="5A3A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3F54801F">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0AC61B88">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造材</w:t>
            </w:r>
          </w:p>
        </w:tc>
        <w:tc>
          <w:tcPr>
            <w:tcW w:w="6479" w:type="dxa"/>
            <w:noWrap w:val="0"/>
            <w:vAlign w:val="center"/>
          </w:tcPr>
          <w:p w14:paraId="789A7AE6">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1.对伐倒木进行打枝作业，从伐倒木的根部向梢部方向将枝丫砍除要求不损伤木质部。</w:t>
            </w:r>
          </w:p>
          <w:p w14:paraId="35F9AF1C">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2.对尾径≥6cm的伐倒木制成2m/节。</w:t>
            </w:r>
          </w:p>
        </w:tc>
      </w:tr>
      <w:tr w14:paraId="7905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6FFA0C03">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782CAEC1">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集材、清理运输采伐剩余物</w:t>
            </w:r>
          </w:p>
        </w:tc>
        <w:tc>
          <w:tcPr>
            <w:tcW w:w="6479" w:type="dxa"/>
            <w:noWrap w:val="0"/>
            <w:vAlign w:val="center"/>
          </w:tcPr>
          <w:p w14:paraId="4478629F">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1.将整个作业区尾径大于6cm的木材归集到林道边指定地点。</w:t>
            </w:r>
          </w:p>
          <w:p w14:paraId="5CCFC8E4">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2.对伐区造材剩余的枝丫及杂灌木等能利用的其他剩余物运离山场加以利用，每公顷丢弃木材不超过0.5m³。树叶、藤蔓及杂草等平铺或者按一定间距均匀堆放在林分内。</w:t>
            </w:r>
          </w:p>
        </w:tc>
      </w:tr>
      <w:tr w14:paraId="19F8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2D500628">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3D4C0E61">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追肥</w:t>
            </w:r>
          </w:p>
        </w:tc>
        <w:tc>
          <w:tcPr>
            <w:tcW w:w="6479" w:type="dxa"/>
            <w:noWrap w:val="0"/>
            <w:vAlign w:val="center"/>
          </w:tcPr>
          <w:p w14:paraId="1E621ED8">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1.施肥量0.75kg/株。</w:t>
            </w:r>
          </w:p>
          <w:p w14:paraId="408A3D9C">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2.确保一树一坑，坑规格为:长20cm，宽20cm，深20cm，挖坑位置在树根的左侧或右侧 80-100cm处；追肥坑验收合格方可追肥。间伐株不追肥。</w:t>
            </w:r>
          </w:p>
          <w:p w14:paraId="49600728">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3.施肥回坑。用定量器具量取 0.75kg肥料，均匀施放在坑的底部，现场管理员全面检查确认后方可回土；将表土回埋满坑，全部盖住肥料。</w:t>
            </w:r>
          </w:p>
          <w:p w14:paraId="268947C3">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4.必须有现场管理员全程跟踪检查，确保肥料足量到位。要求回收肥料包装袋，整理清点记录数量，确认后集中统一处理。</w:t>
            </w:r>
          </w:p>
        </w:tc>
      </w:tr>
      <w:tr w14:paraId="5359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7B684CEC">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5C7F5ED5">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肥料短途运输、装卸</w:t>
            </w:r>
          </w:p>
        </w:tc>
        <w:tc>
          <w:tcPr>
            <w:tcW w:w="6479" w:type="dxa"/>
            <w:noWrap w:val="0"/>
            <w:vAlign w:val="center"/>
          </w:tcPr>
          <w:p w14:paraId="5FA7F990">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r>
      <w:tr w14:paraId="26C9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Merge w:val="continue"/>
            <w:noWrap w:val="0"/>
            <w:vAlign w:val="center"/>
          </w:tcPr>
          <w:p w14:paraId="153D2010">
            <w:pPr>
              <w:spacing w:line="240" w:lineRule="auto"/>
              <w:jc w:val="center"/>
              <w:rPr>
                <w:rFonts w:hint="eastAsia" w:ascii="宋体" w:hAnsi="宋体" w:eastAsia="宋体" w:cs="宋体"/>
                <w:color w:val="auto"/>
                <w:sz w:val="21"/>
                <w:szCs w:val="21"/>
                <w:highlight w:val="none"/>
                <w:lang w:eastAsia="zh-CN"/>
              </w:rPr>
            </w:pPr>
          </w:p>
        </w:tc>
        <w:tc>
          <w:tcPr>
            <w:tcW w:w="1450" w:type="dxa"/>
            <w:noWrap w:val="0"/>
            <w:vAlign w:val="center"/>
          </w:tcPr>
          <w:p w14:paraId="07D32B0E">
            <w:pPr>
              <w:keepNext w:val="0"/>
              <w:keepLines w:val="0"/>
              <w:widowControl/>
              <w:suppressLineNumbers w:val="0"/>
              <w:jc w:val="center"/>
              <w:textAlignment w:val="center"/>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维修林路</w:t>
            </w:r>
          </w:p>
        </w:tc>
        <w:tc>
          <w:tcPr>
            <w:tcW w:w="6479" w:type="dxa"/>
            <w:noWrap w:val="0"/>
            <w:vAlign w:val="center"/>
          </w:tcPr>
          <w:p w14:paraId="100120DA">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r>
    </w:tbl>
    <w:p w14:paraId="02201093">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（三）人员配备要求</w:t>
      </w:r>
      <w:r>
        <w:rPr>
          <w:rFonts w:hint="eastAsia" w:ascii="宋体" w:hAnsi="宋体" w:eastAsia="宋体" w:cs="宋体"/>
          <w:b/>
          <w:bCs/>
          <w:color w:val="auto"/>
          <w:sz w:val="21"/>
          <w:szCs w:val="21"/>
          <w:highlight w:val="none"/>
          <w:lang w:eastAsia="zh-CN"/>
        </w:rPr>
        <w:t>（适用于标项一、标项二、标项三、标项四、标项五）</w:t>
      </w:r>
      <w:r>
        <w:rPr>
          <w:rFonts w:hint="eastAsia" w:ascii="宋体" w:hAnsi="宋体" w:eastAsia="宋体" w:cs="宋体"/>
          <w:b/>
          <w:bCs/>
          <w:color w:val="auto"/>
          <w:sz w:val="21"/>
          <w:szCs w:val="21"/>
          <w:highlight w:val="none"/>
        </w:rPr>
        <w:t>：</w:t>
      </w:r>
    </w:p>
    <w:p w14:paraId="7FC58A0F">
      <w:pPr>
        <w:snapToGrid w:val="0"/>
        <w:spacing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需配备不少于10名施工人员，所有人员均须在进场施工前购买个人意外伤害保险（</w:t>
      </w:r>
      <w:r>
        <w:rPr>
          <w:rFonts w:hint="eastAsia" w:ascii="宋体" w:hAnsi="宋体" w:eastAsia="宋体" w:cs="宋体"/>
          <w:color w:val="auto"/>
          <w:sz w:val="21"/>
          <w:szCs w:val="21"/>
          <w:highlight w:val="none"/>
          <w:lang w:eastAsia="zh-CN"/>
        </w:rPr>
        <w:t>意外身故或伤残保额不低于80万元/人，意外医疗保额不低于8万元/人，意外住院津贴补助不低于1000元/天/人，最高180天计1.8万元/人，投保年保费最高额600元/人</w:t>
      </w:r>
      <w:r>
        <w:rPr>
          <w:rFonts w:hint="eastAsia" w:ascii="宋体" w:hAnsi="宋体" w:eastAsia="宋体" w:cs="宋体"/>
          <w:color w:val="auto"/>
          <w:sz w:val="21"/>
          <w:szCs w:val="21"/>
          <w:highlight w:val="none"/>
        </w:rPr>
        <w:t>），投标时可提供承诺书（承诺中标后进场前完成保险购买及人员配备），保险单复印件可在进场前补交。</w:t>
      </w:r>
    </w:p>
    <w:p w14:paraId="3F645C76">
      <w:pPr>
        <w:snapToGrid w:val="0"/>
        <w:spacing w:line="360" w:lineRule="auto"/>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二、 商务要求</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eastAsia="zh-CN"/>
        </w:rPr>
        <w:t>（适用于标项一、标项二、标项三、标项四、标项五）</w:t>
      </w:r>
      <w:r>
        <w:rPr>
          <w:rFonts w:hint="eastAsia" w:ascii="宋体" w:hAnsi="宋体" w:eastAsia="宋体" w:cs="宋体"/>
          <w:b/>
          <w:bCs/>
          <w:color w:val="auto"/>
          <w:sz w:val="21"/>
          <w:szCs w:val="21"/>
          <w:highlight w:val="none"/>
          <w:lang w:eastAsia="zh-CN"/>
        </w:rPr>
        <w:t>）</w:t>
      </w:r>
    </w:p>
    <w:p w14:paraId="1DF1DAC9">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（一）服务期限：</w:t>
      </w:r>
    </w:p>
    <w:p w14:paraId="27D9AE4B">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自合同签订之日起至2026年</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w:t>
      </w:r>
    </w:p>
    <w:p w14:paraId="4599527E">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（二）实施地点：</w:t>
      </w:r>
    </w:p>
    <w:p w14:paraId="45605F66">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河池</w:t>
      </w:r>
      <w:r>
        <w:rPr>
          <w:rFonts w:hint="eastAsia" w:ascii="宋体" w:hAnsi="宋体" w:eastAsia="宋体" w:cs="宋体"/>
          <w:color w:val="auto"/>
          <w:sz w:val="21"/>
          <w:szCs w:val="21"/>
          <w:highlight w:val="none"/>
        </w:rPr>
        <w:t>市</w:t>
      </w:r>
      <w:r>
        <w:rPr>
          <w:rFonts w:hint="eastAsia" w:ascii="宋体" w:hAnsi="宋体" w:eastAsia="宋体" w:cs="宋体"/>
          <w:color w:val="auto"/>
          <w:sz w:val="21"/>
          <w:szCs w:val="21"/>
          <w:highlight w:val="none"/>
          <w:lang w:eastAsia="zh-CN"/>
        </w:rPr>
        <w:t>天峨县</w:t>
      </w:r>
      <w:r>
        <w:rPr>
          <w:rFonts w:hint="eastAsia" w:ascii="宋体" w:hAnsi="宋体" w:eastAsia="宋体" w:cs="宋体"/>
          <w:color w:val="auto"/>
          <w:sz w:val="21"/>
          <w:szCs w:val="21"/>
          <w:highlight w:val="none"/>
          <w:lang w:val="en-US" w:eastAsia="zh-CN"/>
        </w:rPr>
        <w:t>广西国控林业投资股份有限公司经营的林地内</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标的一所属</w:t>
      </w:r>
      <w:r>
        <w:rPr>
          <w:rFonts w:hint="eastAsia" w:ascii="宋体" w:hAnsi="宋体" w:eastAsia="宋体" w:cs="宋体"/>
          <w:color w:val="auto"/>
          <w:sz w:val="21"/>
          <w:szCs w:val="21"/>
          <w:highlight w:val="none"/>
        </w:rPr>
        <w:t>经营班编号：</w:t>
      </w:r>
      <w:r>
        <w:rPr>
          <w:rFonts w:hint="eastAsia" w:ascii="宋体" w:hAnsi="宋体" w:eastAsia="宋体" w:cs="宋体"/>
          <w:color w:val="auto"/>
          <w:sz w:val="21"/>
          <w:szCs w:val="21"/>
          <w:highlight w:val="none"/>
        </w:rPr>
        <w:t>GK*</w:t>
      </w:r>
      <w:r>
        <w:rPr>
          <w:rFonts w:hint="eastAsia" w:ascii="宋体" w:hAnsi="宋体" w:eastAsia="宋体" w:cs="宋体"/>
          <w:color w:val="auto"/>
          <w:szCs w:val="21"/>
          <w:highlight w:val="none"/>
        </w:rPr>
        <w:t>122220320506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标的二所属林地经营班编号：GK*122220320506、GK*122220320506、GK*122220320506、GK*122220320508、GK*122220320509，标的三所属林地经营班编号：GK*122220720101，标的四所属林地经营班编号：GK*122420320103、GK*122420320104、GK*122420320105、GK*122420320106、GK*122420420302、GK*122420420303、GK*122420420304、GK*122420420305、GK*122420420202、GK*122420420203、GK*122420420205、GK*122420420206，标的五所属林地经营班编号：GK*122220620501、GK*122210121404、GK*122210121406、GK*122210121408</w:t>
      </w:r>
      <w:r>
        <w:rPr>
          <w:rFonts w:hint="eastAsia" w:ascii="宋体" w:hAnsi="宋体" w:eastAsia="宋体" w:cs="宋体"/>
          <w:color w:val="auto"/>
          <w:sz w:val="21"/>
          <w:szCs w:val="21"/>
          <w:highlight w:val="none"/>
        </w:rPr>
        <w:t>）。具体范围详见施工范围图。实际结算面积以</w:t>
      </w:r>
      <w:r>
        <w:rPr>
          <w:rFonts w:hint="eastAsia" w:ascii="宋体" w:hAnsi="宋体" w:eastAsia="宋体" w:cs="宋体"/>
          <w:color w:val="auto"/>
          <w:sz w:val="21"/>
          <w:szCs w:val="21"/>
          <w:highlight w:val="none"/>
          <w:lang w:val="en-US" w:eastAsia="zh-CN"/>
        </w:rPr>
        <w:t>公司</w:t>
      </w:r>
      <w:r>
        <w:rPr>
          <w:rFonts w:hint="eastAsia" w:ascii="宋体" w:hAnsi="宋体" w:eastAsia="宋体" w:cs="宋体"/>
          <w:color w:val="auto"/>
          <w:sz w:val="21"/>
          <w:szCs w:val="21"/>
          <w:highlight w:val="none"/>
        </w:rPr>
        <w:t>无人机航拍勾绘的实际施工作业面积为准。</w:t>
      </w:r>
    </w:p>
    <w:p w14:paraId="75981694">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（三）验收申请、流程及返工处理</w:t>
      </w:r>
    </w:p>
    <w:p w14:paraId="74B0D685">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1.验收申请：当中标人完成某一单项工序并自检合格后，报采购人技术员进行验收。</w:t>
      </w:r>
    </w:p>
    <w:p w14:paraId="359EF185">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验收流程：采购人技术员接收到中标人验收申请后，在30个工作日内（如遇雨天等特殊情况除外）会同中标人进行验收，验收合格则签字确认，若不合格则由采购人技术员依合同约定及现场情况签发返工通知单，并说明返工要求及完工时间。中标人逾期不配合验收的，视为认可采购人单方验收结果。</w:t>
      </w:r>
    </w:p>
    <w:p w14:paraId="66DF268B">
      <w:pPr>
        <w:snapToGrid w:val="0"/>
        <w:spacing w:line="360" w:lineRule="auto"/>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返工后验收：中标人应按要求组织返工，如中标人不按要求返工或拒不返工的，采购人有权选择单方面解除合同，并要求中标人赔偿因此给采购人造成的全部损失。返工结束并自检合格后，重新申请验收，若仍不合格的，采购人有权拒付中标人该工序不合格部分面积的承包费，并视情况有权选择单方面解除合同，且有权要求中标人赔偿因此给采购人造成的全部损失（包括但不限于工期延误损失、另行组织施工的费用等）。</w:t>
      </w:r>
    </w:p>
    <w:p w14:paraId="727B3DC7">
      <w:pPr>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（四）费用支付与结算：</w:t>
      </w:r>
    </w:p>
    <w:p w14:paraId="2430E153">
      <w:pPr>
        <w:keepNext w:val="0"/>
        <w:keepLines w:val="0"/>
        <w:pageBreakBefore w:val="0"/>
        <w:widowControl/>
        <w:numPr>
          <w:ilvl w:val="0"/>
          <w:numId w:val="3"/>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结算原则</w:t>
      </w:r>
    </w:p>
    <w:p w14:paraId="1DCD31AE">
      <w:pPr>
        <w:keepNext w:val="0"/>
        <w:keepLines w:val="0"/>
        <w:pageBreakBefore w:val="0"/>
        <w:widowControl/>
        <w:kinsoku/>
        <w:wordWrap/>
        <w:overflowPunct/>
        <w:topLinePunct w:val="0"/>
        <w:autoSpaceDE/>
        <w:autoSpaceDN/>
        <w:bidi w:val="0"/>
        <w:adjustRightInd/>
        <w:snapToGrid w:val="0"/>
        <w:spacing w:line="360" w:lineRule="auto"/>
        <w:ind w:right="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乙方按合同约定完成相应施工工序后，可就已完成的合格工程量向甲方申请支付进度款。经甲方审核确认，甲方按审定合格工程量的 70% 支付进度款。</w:t>
      </w:r>
    </w:p>
    <w:p w14:paraId="4793E134">
      <w:pPr>
        <w:keepNext w:val="0"/>
        <w:keepLines w:val="0"/>
        <w:pageBreakBefore w:val="0"/>
        <w:widowControl/>
        <w:numPr>
          <w:ilvl w:val="0"/>
          <w:numId w:val="3"/>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w:t>
      </w:r>
    </w:p>
    <w:p w14:paraId="7F90315B">
      <w:pPr>
        <w:keepNext w:val="0"/>
        <w:keepLines w:val="0"/>
        <w:pageBreakBefore w:val="0"/>
        <w:widowControl/>
        <w:numPr>
          <w:ilvl w:val="0"/>
          <w:numId w:val="5"/>
        </w:numPr>
        <w:kinsoku/>
        <w:wordWrap/>
        <w:overflowPunct/>
        <w:topLinePunct w:val="0"/>
        <w:autoSpaceDE/>
        <w:autoSpaceDN/>
        <w:bidi w:val="0"/>
        <w:adjustRightInd/>
        <w:snapToGrid w:val="0"/>
        <w:spacing w:line="360" w:lineRule="auto"/>
        <w:ind w:left="425" w:right="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工程全部完工并经甲方最终验收合格后，双方按验收合格面积直接办理竣工结算。</w:t>
      </w:r>
    </w:p>
    <w:p w14:paraId="6A380597">
      <w:pPr>
        <w:numPr>
          <w:ilvl w:val="0"/>
          <w:numId w:val="5"/>
        </w:numPr>
        <w:snapToGrid w:val="0"/>
        <w:spacing w:line="360" w:lineRule="auto"/>
        <w:ind w:left="425"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乙方应在结算手续启动前，向甲方开具合法有效的增值税普通发票。甲方在收到发票后的 20 个工作日内，支付结算余款。</w:t>
      </w:r>
    </w:p>
    <w:p w14:paraId="667B0555">
      <w:pPr>
        <w:snapToGrid w:val="0"/>
        <w:spacing w:line="360" w:lineRule="auto"/>
        <w:jc w:val="left"/>
        <w:rPr>
          <w:rFonts w:hint="eastAsia" w:ascii="宋体" w:hAnsi="宋体" w:eastAsia="宋体" w:cs="宋体"/>
          <w:color w:val="auto"/>
          <w:sz w:val="21"/>
          <w:szCs w:val="21"/>
          <w:highlight w:val="none"/>
        </w:rPr>
      </w:pPr>
    </w:p>
    <w:p w14:paraId="69BC9E55">
      <w:pPr>
        <w:snapToGrid w:val="0"/>
        <w:jc w:val="left"/>
        <w:rPr>
          <w:rFonts w:hint="eastAsia" w:ascii="宋体" w:hAnsi="宋体" w:eastAsia="宋体" w:cs="宋体"/>
          <w:color w:val="auto"/>
          <w:sz w:val="21"/>
          <w:szCs w:val="21"/>
          <w:highlight w:val="none"/>
        </w:rPr>
      </w:pPr>
    </w:p>
    <w:p w14:paraId="31457945">
      <w:pPr>
        <w:snapToGrid w:val="0"/>
        <w:jc w:val="center"/>
        <w:rPr>
          <w:rFonts w:hint="eastAsia" w:ascii="宋体" w:hAnsi="宋体"/>
          <w:color w:val="auto"/>
          <w:sz w:val="30"/>
          <w:szCs w:val="30"/>
          <w:highlight w:val="none"/>
        </w:rPr>
      </w:pPr>
    </w:p>
    <w:p w14:paraId="48892325">
      <w:pPr>
        <w:snapToGrid w:val="0"/>
        <w:jc w:val="center"/>
        <w:rPr>
          <w:rFonts w:hint="eastAsia" w:ascii="宋体" w:hAnsi="宋体"/>
          <w:color w:val="auto"/>
          <w:sz w:val="30"/>
          <w:szCs w:val="30"/>
          <w:highlight w:val="none"/>
        </w:rPr>
      </w:pPr>
    </w:p>
    <w:p w14:paraId="2ED87176">
      <w:pPr>
        <w:snapToGrid w:val="0"/>
        <w:jc w:val="center"/>
        <w:rPr>
          <w:rFonts w:hint="eastAsia" w:ascii="宋体" w:hAnsi="宋体"/>
          <w:color w:val="auto"/>
          <w:sz w:val="30"/>
          <w:szCs w:val="30"/>
          <w:highlight w:val="none"/>
        </w:rPr>
      </w:pPr>
    </w:p>
    <w:p w14:paraId="69AD4E82">
      <w:pPr>
        <w:snapToGrid w:val="0"/>
        <w:jc w:val="center"/>
        <w:rPr>
          <w:rFonts w:hint="eastAsia" w:ascii="宋体" w:hAnsi="宋体"/>
          <w:color w:val="auto"/>
          <w:sz w:val="30"/>
          <w:szCs w:val="30"/>
          <w:highlight w:val="none"/>
        </w:rPr>
      </w:pPr>
    </w:p>
    <w:p w14:paraId="4369A3CF">
      <w:pPr>
        <w:snapToGrid w:val="0"/>
        <w:jc w:val="center"/>
        <w:rPr>
          <w:rFonts w:hint="eastAsia" w:ascii="宋体" w:hAnsi="宋体"/>
          <w:color w:val="auto"/>
          <w:sz w:val="30"/>
          <w:szCs w:val="30"/>
          <w:highlight w:val="none"/>
        </w:rPr>
      </w:pPr>
    </w:p>
    <w:p w14:paraId="616921C5">
      <w:pPr>
        <w:snapToGrid w:val="0"/>
        <w:jc w:val="center"/>
        <w:rPr>
          <w:rFonts w:hint="eastAsia" w:ascii="宋体" w:hAnsi="宋体"/>
          <w:color w:val="auto"/>
          <w:sz w:val="30"/>
          <w:szCs w:val="30"/>
          <w:highlight w:val="none"/>
        </w:rPr>
      </w:pPr>
    </w:p>
    <w:p w14:paraId="4D35ECDD">
      <w:pPr>
        <w:snapToGrid w:val="0"/>
        <w:jc w:val="center"/>
        <w:rPr>
          <w:rFonts w:hint="eastAsia" w:ascii="宋体" w:hAnsi="宋体"/>
          <w:color w:val="auto"/>
          <w:sz w:val="30"/>
          <w:szCs w:val="30"/>
          <w:highlight w:val="none"/>
        </w:rPr>
      </w:pPr>
    </w:p>
    <w:p w14:paraId="41F82005">
      <w:pPr>
        <w:snapToGrid w:val="0"/>
        <w:jc w:val="center"/>
        <w:rPr>
          <w:rFonts w:hint="eastAsia" w:ascii="宋体" w:hAnsi="宋体"/>
          <w:color w:val="auto"/>
          <w:sz w:val="30"/>
          <w:szCs w:val="30"/>
          <w:highlight w:val="none"/>
        </w:rPr>
      </w:pPr>
    </w:p>
    <w:p w14:paraId="6ED2C64A">
      <w:pPr>
        <w:snapToGrid w:val="0"/>
        <w:jc w:val="center"/>
        <w:rPr>
          <w:rFonts w:hint="eastAsia" w:ascii="宋体" w:hAnsi="宋体"/>
          <w:color w:val="auto"/>
          <w:sz w:val="30"/>
          <w:szCs w:val="30"/>
          <w:highlight w:val="none"/>
        </w:rPr>
      </w:pPr>
    </w:p>
    <w:p w14:paraId="1630FD0B">
      <w:pPr>
        <w:snapToGrid w:val="0"/>
        <w:jc w:val="center"/>
        <w:rPr>
          <w:rFonts w:hint="eastAsia" w:ascii="宋体" w:hAnsi="宋体"/>
          <w:color w:val="auto"/>
          <w:sz w:val="30"/>
          <w:szCs w:val="30"/>
          <w:highlight w:val="none"/>
        </w:rPr>
      </w:pPr>
    </w:p>
    <w:p w14:paraId="1972C279">
      <w:pPr>
        <w:snapToGrid w:val="0"/>
        <w:jc w:val="center"/>
        <w:rPr>
          <w:rFonts w:hint="eastAsia" w:ascii="宋体" w:hAnsi="宋体"/>
          <w:color w:val="auto"/>
          <w:sz w:val="30"/>
          <w:szCs w:val="30"/>
          <w:highlight w:val="none"/>
        </w:rPr>
      </w:pPr>
    </w:p>
    <w:p w14:paraId="7565A990">
      <w:pPr>
        <w:snapToGrid w:val="0"/>
        <w:jc w:val="center"/>
        <w:rPr>
          <w:rFonts w:hint="eastAsia" w:ascii="宋体" w:hAnsi="宋体"/>
          <w:color w:val="auto"/>
          <w:sz w:val="30"/>
          <w:szCs w:val="30"/>
          <w:highlight w:val="none"/>
        </w:rPr>
      </w:pPr>
    </w:p>
    <w:p w14:paraId="32984805">
      <w:pPr>
        <w:snapToGrid w:val="0"/>
        <w:jc w:val="center"/>
        <w:rPr>
          <w:rFonts w:hint="eastAsia" w:ascii="宋体" w:hAnsi="宋体"/>
          <w:color w:val="auto"/>
          <w:sz w:val="30"/>
          <w:szCs w:val="30"/>
          <w:highlight w:val="none"/>
        </w:rPr>
      </w:pPr>
    </w:p>
    <w:p w14:paraId="341987FF">
      <w:pPr>
        <w:snapToGrid w:val="0"/>
        <w:jc w:val="center"/>
        <w:rPr>
          <w:rFonts w:hint="eastAsia" w:ascii="宋体" w:hAnsi="宋体"/>
          <w:color w:val="auto"/>
          <w:sz w:val="30"/>
          <w:szCs w:val="30"/>
          <w:highlight w:val="none"/>
        </w:rPr>
      </w:pPr>
    </w:p>
    <w:p w14:paraId="31CDCF42">
      <w:pPr>
        <w:snapToGrid w:val="0"/>
        <w:jc w:val="center"/>
        <w:rPr>
          <w:rFonts w:hint="eastAsia" w:ascii="宋体" w:hAnsi="宋体"/>
          <w:color w:val="auto"/>
          <w:sz w:val="30"/>
          <w:szCs w:val="30"/>
          <w:highlight w:val="none"/>
        </w:rPr>
      </w:pPr>
    </w:p>
    <w:p w14:paraId="64DD8593">
      <w:pPr>
        <w:snapToGrid w:val="0"/>
        <w:jc w:val="center"/>
        <w:rPr>
          <w:rFonts w:hint="eastAsia" w:ascii="宋体" w:hAnsi="宋体"/>
          <w:color w:val="auto"/>
          <w:sz w:val="30"/>
          <w:szCs w:val="30"/>
          <w:highlight w:val="none"/>
        </w:rPr>
      </w:pPr>
    </w:p>
    <w:p w14:paraId="5B7E29F9">
      <w:pPr>
        <w:snapToGrid w:val="0"/>
        <w:jc w:val="both"/>
        <w:rPr>
          <w:rFonts w:hint="eastAsia" w:ascii="宋体" w:hAnsi="宋体"/>
          <w:b/>
          <w:bCs/>
          <w:color w:val="auto"/>
          <w:sz w:val="30"/>
          <w:szCs w:val="30"/>
          <w:highlight w:val="none"/>
          <w:lang w:val="en-US" w:eastAsia="zh-CN"/>
        </w:rPr>
      </w:pPr>
      <w:r>
        <w:rPr>
          <w:rFonts w:hint="eastAsia" w:ascii="宋体" w:hAnsi="宋体"/>
          <w:b/>
          <w:bCs/>
          <w:color w:val="auto"/>
          <w:sz w:val="30"/>
          <w:szCs w:val="30"/>
          <w:highlight w:val="none"/>
          <w:lang w:eastAsia="zh-CN"/>
        </w:rPr>
        <w:t>附件</w:t>
      </w:r>
      <w:r>
        <w:rPr>
          <w:rFonts w:hint="eastAsia" w:ascii="宋体" w:hAnsi="宋体"/>
          <w:b/>
          <w:bCs/>
          <w:color w:val="auto"/>
          <w:sz w:val="30"/>
          <w:szCs w:val="30"/>
          <w:highlight w:val="none"/>
          <w:lang w:val="en-US" w:eastAsia="zh-CN"/>
        </w:rPr>
        <w:t>1、广西国控林业投资股份有限公司2026年度中央财政森林修复（森林可持续经营）项目施工服务林地信息和施工工序信息表</w:t>
      </w:r>
    </w:p>
    <w:p w14:paraId="422CADC3">
      <w:pPr>
        <w:snapToGrid w:val="0"/>
        <w:jc w:val="both"/>
        <w:rPr>
          <w:rFonts w:hint="default" w:ascii="宋体" w:hAnsi="宋体" w:eastAsia="宋体"/>
          <w:color w:val="auto"/>
          <w:sz w:val="30"/>
          <w:szCs w:val="30"/>
          <w:highlight w:val="none"/>
          <w:lang w:val="en-US" w:eastAsia="zh-CN"/>
        </w:rPr>
        <w:sectPr>
          <w:footerReference r:id="rId5" w:type="default"/>
          <w:pgSz w:w="11906" w:h="16838"/>
          <w:pgMar w:top="992" w:right="1134" w:bottom="992" w:left="1134" w:header="851" w:footer="992" w:gutter="0"/>
          <w:pgNumType w:fmt="decimal" w:start="1"/>
          <w:cols w:space="720" w:num="1"/>
          <w:docGrid w:type="lines" w:linePitch="312" w:charSpace="0"/>
        </w:sectPr>
      </w:pPr>
    </w:p>
    <w:p w14:paraId="1EB430EE">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标项一</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6FFD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2CA8EC6">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5481EC5">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34736CAF">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158A9B9A">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7A2C8A6D">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17424AE4">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39E3D7F1">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6C5632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181D0E9">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693DE56">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05D6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0E5907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3F9611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5EE6B02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河池市天峨县纳直乡当里村6林班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BEBE3F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single" w:color="000000" w:sz="4" w:space="0"/>
              <w:bottom w:val="nil"/>
              <w:right w:val="single" w:color="000000" w:sz="4" w:space="0"/>
            </w:tcBorders>
            <w:noWrap/>
            <w:vAlign w:val="center"/>
          </w:tcPr>
          <w:p w14:paraId="52C47BE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4060FA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将林地上的杂草、杂灌、藤类等植物全部清除，留存高度不得超过 20cm。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CA346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1202AF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16C8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37AEB9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EDB5ED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0FB73CA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3EB3BB3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single" w:color="000000" w:sz="4" w:space="0"/>
              <w:bottom w:val="nil"/>
              <w:right w:val="single" w:color="000000" w:sz="4" w:space="0"/>
            </w:tcBorders>
            <w:noWrap/>
            <w:vAlign w:val="center"/>
          </w:tcPr>
          <w:p w14:paraId="37A8F2E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015A50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8570A9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B69ADC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9083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BA6316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7F85C3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152F30E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66607D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single" w:color="000000" w:sz="4" w:space="0"/>
              <w:bottom w:val="nil"/>
              <w:right w:val="single" w:color="000000" w:sz="4" w:space="0"/>
            </w:tcBorders>
            <w:noWrap/>
            <w:vAlign w:val="center"/>
          </w:tcPr>
          <w:p w14:paraId="5974583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29ECE1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798B55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EDB6EE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A24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8D501F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063ED0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4C3A9DD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7219DD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nil"/>
              <w:bottom w:val="single" w:color="000000" w:sz="4" w:space="0"/>
              <w:right w:val="single" w:color="000000" w:sz="4" w:space="0"/>
            </w:tcBorders>
            <w:noWrap w:val="0"/>
            <w:vAlign w:val="center"/>
          </w:tcPr>
          <w:p w14:paraId="43E25B4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6F9FBA2">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1.对伐倒木进行打枝作业，从伐倒木的根部向梢部方向将枝丫砍除要求不损伤木质部。</w:t>
            </w:r>
          </w:p>
          <w:p w14:paraId="5F8BE54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CF3CD4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8E3D1D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AB6F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E99C06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AC5710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12B5094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1EA63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nil"/>
              <w:bottom w:val="single" w:color="000000" w:sz="4" w:space="0"/>
              <w:right w:val="single" w:color="000000" w:sz="4" w:space="0"/>
            </w:tcBorders>
            <w:noWrap w:val="0"/>
            <w:vAlign w:val="center"/>
          </w:tcPr>
          <w:p w14:paraId="08791DEF">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F04BC42">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1.将整个作业区尾径大于6cm的木材归集到林道边指定地点。</w:t>
            </w:r>
          </w:p>
          <w:p w14:paraId="5AB8D5B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7E9FFD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B5A128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0A11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C1C44B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CC23CD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1E8AEB1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CAA78B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nil"/>
              <w:bottom w:val="single" w:color="000000" w:sz="4" w:space="0"/>
              <w:right w:val="single" w:color="000000" w:sz="4" w:space="0"/>
            </w:tcBorders>
            <w:noWrap w:val="0"/>
            <w:vAlign w:val="center"/>
          </w:tcPr>
          <w:p w14:paraId="5F5013A4">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1844965">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1.施肥量0.75kg/株。</w:t>
            </w:r>
          </w:p>
          <w:p w14:paraId="79B97981">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2.确保一树一坑，坑规格为:长20cm，宽20cm，深20cm，挖坑位置在树根的左侧或右侧 80-100cm处；追肥坑验收合格方可追肥。间伐株不追肥。</w:t>
            </w:r>
          </w:p>
          <w:p w14:paraId="48378C18">
            <w:pPr>
              <w:keepNext w:val="0"/>
              <w:keepLines w:val="0"/>
              <w:widowControl/>
              <w:suppressLineNumbers w:val="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3.施肥回坑。用定量器具量取 0.75kg肥料，均匀施放在坑的底部，现场管理员全面检查确认后方可回土；将表土回埋满坑，全部盖住肥料。</w:t>
            </w:r>
          </w:p>
          <w:p w14:paraId="44836F1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4.必须有现场管理员全程跟踪检查，确保肥料足量到位。要求回收肥料包装袋，整理清点记录数量，确认后集中统一处理。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C7F537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FAFB8A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8E5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47EAC9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C72763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0DD70DD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32B459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330.6</w:t>
            </w:r>
          </w:p>
        </w:tc>
        <w:tc>
          <w:tcPr>
            <w:tcW w:w="1469" w:type="dxa"/>
            <w:tcBorders>
              <w:top w:val="single" w:color="000000" w:sz="4" w:space="0"/>
              <w:left w:val="nil"/>
              <w:bottom w:val="single" w:color="000000" w:sz="4" w:space="0"/>
              <w:right w:val="single" w:color="000000" w:sz="4" w:space="0"/>
            </w:tcBorders>
            <w:noWrap w:val="0"/>
            <w:vAlign w:val="center"/>
          </w:tcPr>
          <w:p w14:paraId="26296B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002DAAC">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28C1A87">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62F026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039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99DED0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94510D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5D234B7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0BB202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4000米</w:t>
            </w:r>
          </w:p>
        </w:tc>
        <w:tc>
          <w:tcPr>
            <w:tcW w:w="1469" w:type="dxa"/>
            <w:tcBorders>
              <w:top w:val="single" w:color="000000" w:sz="4" w:space="0"/>
              <w:left w:val="nil"/>
              <w:bottom w:val="single" w:color="000000" w:sz="4" w:space="0"/>
              <w:right w:val="single" w:color="000000" w:sz="4" w:space="0"/>
            </w:tcBorders>
            <w:noWrap w:val="0"/>
            <w:vAlign w:val="center"/>
          </w:tcPr>
          <w:p w14:paraId="39AD258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1268601">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color w:val="auto"/>
                <w:kern w:val="0"/>
                <w:szCs w:val="21"/>
                <w:highlight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458E2AB">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D13C74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2CFD327A">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rPr>
      </w:pPr>
    </w:p>
    <w:p w14:paraId="020A927A">
      <w:pPr>
        <w:snapToGrid w:val="0"/>
        <w:jc w:val="center"/>
        <w:rPr>
          <w:rFonts w:hint="eastAsia" w:ascii="宋体" w:hAnsi="宋体"/>
          <w:color w:val="auto"/>
          <w:sz w:val="30"/>
          <w:szCs w:val="30"/>
          <w:highlight w:val="none"/>
        </w:rPr>
      </w:pPr>
    </w:p>
    <w:p w14:paraId="25B75906">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标项二</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5BD5B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BB31A87">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F732853">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42D98E1B">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4540B1D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095353A9">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52B14DB5">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6A4A0CB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744031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655404E">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C6EA438">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7966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235120C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C0E18C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6364ABC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河池市天峨县纳直乡当里村6林班、河池市天峨县纳直乡当里村8林班、河池市天峨县纳直乡当里村9林班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39E7FE7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6AB39CD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BCBF93F">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将林地上的杂草、杂灌、藤类等植物全部清除，留存高度不得超过 20cm。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5DACDD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1E72EB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6BCE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5FA6FD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952EEF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5BA95F7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C0DD7A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2DF4B89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A62A60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B640D8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9B8901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1274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C7400C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96759C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5E28075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09C442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single" w:color="000000" w:sz="4" w:space="0"/>
              <w:bottom w:val="nil"/>
              <w:right w:val="single" w:color="000000" w:sz="4" w:space="0"/>
            </w:tcBorders>
            <w:noWrap/>
            <w:vAlign w:val="center"/>
          </w:tcPr>
          <w:p w14:paraId="50481FD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8EC8EC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440913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00D4CE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D67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19F44A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5ACA38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75E77E7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B69B88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1493FF9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3D1625C">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1.对伐倒木进行打枝作业，从伐倒木的根部向梢部方向将枝丫砍除要求不损伤木质部。</w:t>
            </w:r>
          </w:p>
          <w:p w14:paraId="461DC85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3F5807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636F89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DD3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76B79C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16535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32FD27D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A9E307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55731149">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6BD1539">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1.将整个作业区尾径大于6cm的木材归集到林道边指定地点。</w:t>
            </w:r>
          </w:p>
          <w:p w14:paraId="3C241E4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C912EC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A3F8B6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0DAA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7D2531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6705B2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32263B2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22774B5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0F417722">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149E3D2">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1.施肥量0.75kg/株。</w:t>
            </w:r>
          </w:p>
          <w:p w14:paraId="440656CC">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2.确保一树一坑，坑规格为:长20cm，宽20cm，深20cm，挖坑位置在树根的左侧或右侧 80-100cm处；追肥坑验收合格方可追肥。间伐株不追肥。</w:t>
            </w:r>
          </w:p>
          <w:p w14:paraId="344791F8">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3.施肥回坑。用定量器具量取 0.75kg肥料，均匀施放在坑的底部，现场管理员全面检查确认后方可回土；将表土回埋满坑，全部盖住肥料。</w:t>
            </w:r>
          </w:p>
          <w:p w14:paraId="4A4F968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4.必须有现场管理员全程跟踪检查，确保肥料足量到位。要求回收肥料包装袋，整理清点记录数量，确认后集中统一处理。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1F0E05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FC904A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C26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9FD60E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869B96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3D29B72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2F13FBEA">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586.2</w:t>
            </w:r>
          </w:p>
        </w:tc>
        <w:tc>
          <w:tcPr>
            <w:tcW w:w="1469" w:type="dxa"/>
            <w:tcBorders>
              <w:top w:val="single" w:color="000000" w:sz="4" w:space="0"/>
              <w:left w:val="nil"/>
              <w:bottom w:val="single" w:color="000000" w:sz="4" w:space="0"/>
              <w:right w:val="single" w:color="000000" w:sz="4" w:space="0"/>
            </w:tcBorders>
            <w:noWrap w:val="0"/>
            <w:vAlign w:val="center"/>
          </w:tcPr>
          <w:p w14:paraId="4824BEC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C334B30">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10415E6">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E15B27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A85E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634941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35E5FF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3BE7B29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F468DC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9800米</w:t>
            </w:r>
          </w:p>
        </w:tc>
        <w:tc>
          <w:tcPr>
            <w:tcW w:w="1469" w:type="dxa"/>
            <w:tcBorders>
              <w:top w:val="single" w:color="000000" w:sz="4" w:space="0"/>
              <w:left w:val="nil"/>
              <w:bottom w:val="single" w:color="000000" w:sz="4" w:space="0"/>
              <w:right w:val="single" w:color="000000" w:sz="4" w:space="0"/>
            </w:tcBorders>
            <w:noWrap w:val="0"/>
            <w:vAlign w:val="center"/>
          </w:tcPr>
          <w:p w14:paraId="3DD41C5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63924E4">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color w:val="auto"/>
                <w:kern w:val="0"/>
                <w:szCs w:val="21"/>
                <w:highlight w:val="none"/>
                <w:u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BDD4A77">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854166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40F64E4F">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标项三</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45122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F9736DD">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FDFD5CC">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4D68DD3C">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73887898">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271B23AA">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0515B65C">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69CB8280">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B668B00">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AC3CE4A">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E85A751">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1552A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3ACF24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893C59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48177D4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河池市天峨县坡结乡坡结村1经营林班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EEC507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6572EE7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98F448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将林地上的杂草、杂灌、藤类等植物全部清除，留存高度不得超过 20cm。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22D0C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588C18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5021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37A230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077498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2533FC0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63B9B25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3DE78DD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D9444F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377B76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6D1CF3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FDF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57B643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2C7847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596509D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10E2BF1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single" w:color="000000" w:sz="4" w:space="0"/>
              <w:bottom w:val="nil"/>
              <w:right w:val="single" w:color="000000" w:sz="4" w:space="0"/>
            </w:tcBorders>
            <w:noWrap/>
            <w:vAlign w:val="center"/>
          </w:tcPr>
          <w:p w14:paraId="56D9F45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F9E985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0B3BD33">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035300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6E4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1AC659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D26B88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1025F0A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08B1962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130134E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28F8742">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1.对伐倒木进行打枝作业，从伐倒木的根部向梢部方向将枝丫砍除要求不损伤木质部。</w:t>
            </w:r>
          </w:p>
          <w:p w14:paraId="2874892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7055AD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B2279C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0A34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3878C8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FB79D6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11592D1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2E93321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2CB9E68F">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E416F6D">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1.将整个作业区尾径大于6cm的木材归集到林道边指定地点。</w:t>
            </w:r>
          </w:p>
          <w:p w14:paraId="50D864A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8A934F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C1DF6F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AA08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2A2F18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1A6F1D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78CFA0B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58ADF15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2D3BD0C3">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26DE363A">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1.施肥量0.75kg/株。</w:t>
            </w:r>
          </w:p>
          <w:p w14:paraId="6A299B82">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2.确保一树一坑，坑规格为:长20cm，宽20cm，深20cm，挖坑位置在树根的左侧或右侧 80-100cm处；追肥坑验收合格方可追肥。间伐株不追肥。</w:t>
            </w:r>
          </w:p>
          <w:p w14:paraId="3A5CC439">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3.施肥回坑。用定量器具量取 0.75kg肥料，均匀施放在坑的底部，现场管理员全面检查确认后方可回土；将表土回埋满坑，全部盖住肥料。</w:t>
            </w:r>
          </w:p>
          <w:p w14:paraId="0F28E7E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4.必须有现场管理员全程跟踪检查，确保肥料足量到位。要求回收肥料包装袋，整理清点记录数量，确认后集中统一处理。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20D16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8DEA19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F7A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453AA4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8446F5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4F89DD7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1EC1214">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213.9</w:t>
            </w:r>
          </w:p>
        </w:tc>
        <w:tc>
          <w:tcPr>
            <w:tcW w:w="1469" w:type="dxa"/>
            <w:tcBorders>
              <w:top w:val="single" w:color="000000" w:sz="4" w:space="0"/>
              <w:left w:val="nil"/>
              <w:bottom w:val="single" w:color="000000" w:sz="4" w:space="0"/>
              <w:right w:val="single" w:color="000000" w:sz="4" w:space="0"/>
            </w:tcBorders>
            <w:noWrap w:val="0"/>
            <w:vAlign w:val="center"/>
          </w:tcPr>
          <w:p w14:paraId="16595E3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1C75985">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6403822">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CF0F0A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CC49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D8C9A9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DF4552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4DA6D9C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12F241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1400</w:t>
            </w:r>
          </w:p>
        </w:tc>
        <w:tc>
          <w:tcPr>
            <w:tcW w:w="1469" w:type="dxa"/>
            <w:tcBorders>
              <w:top w:val="single" w:color="000000" w:sz="4" w:space="0"/>
              <w:left w:val="nil"/>
              <w:bottom w:val="single" w:color="000000" w:sz="4" w:space="0"/>
              <w:right w:val="single" w:color="000000" w:sz="4" w:space="0"/>
            </w:tcBorders>
            <w:noWrap w:val="0"/>
            <w:vAlign w:val="center"/>
          </w:tcPr>
          <w:p w14:paraId="36347D3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685D1CE">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color w:val="auto"/>
                <w:kern w:val="0"/>
                <w:szCs w:val="21"/>
                <w:highlight w:val="none"/>
                <w:u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5117255">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3FA429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5C1FEBD1">
      <w:pPr>
        <w:spacing w:line="560" w:lineRule="exact"/>
        <w:jc w:val="center"/>
        <w:rPr>
          <w:rFonts w:hint="eastAsia" w:ascii="仿宋_GB2312" w:hAnsi="宋体" w:eastAsia="仿宋_GB2312" w:cs="宋体"/>
          <w:b/>
          <w:bCs/>
          <w:color w:val="auto"/>
          <w:kern w:val="0"/>
          <w:sz w:val="44"/>
          <w:szCs w:val="44"/>
          <w:highlight w:val="none"/>
          <w:lang w:eastAsia="zh-CN"/>
        </w:rPr>
      </w:pPr>
    </w:p>
    <w:p w14:paraId="420A85DC">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标项四</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7C00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574F298">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E7BC240">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251D50C4">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036019A1">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33EE138E">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2F28C25E">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51622D52">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098D014">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65EA335">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B55289D">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3FD9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87BA43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6D03C8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15EB232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东兰县金谷乡、巴畴乡</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025C4EC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3C40F52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6BC200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将林地上的杂草、杂灌、藤类等植物全部清除，留存高度不得超过 20cm。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2E12FA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494A7C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42BB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3CDDAE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63467E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21BA112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4609FED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6B73A09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6F2A36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2681E6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B08B09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BEB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D8311C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C19D1E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2B12579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16F3C61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single" w:color="000000" w:sz="4" w:space="0"/>
              <w:bottom w:val="nil"/>
              <w:right w:val="single" w:color="000000" w:sz="4" w:space="0"/>
            </w:tcBorders>
            <w:noWrap/>
            <w:vAlign w:val="center"/>
          </w:tcPr>
          <w:p w14:paraId="69965CF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5B7F52F">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70DB315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4998A7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8294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6CFFAE1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2B916C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5A27EA2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F12EAE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7609783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5E0A355">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1.对伐倒木进行打枝作业，从伐倒木的根部向梢部方向将枝丫砍除要求不损伤木质部。</w:t>
            </w:r>
          </w:p>
          <w:p w14:paraId="3F304FE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6A2224D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C0A7FE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588F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2CC3D6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497AA3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7DA1AE5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FEBCC8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032C3F26">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BC12C9E">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1.将整个作业区尾径大于6cm的木材归集到林道边指定地点。</w:t>
            </w:r>
          </w:p>
          <w:p w14:paraId="4F1AC79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724AFD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27E133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CE87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D76B79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AD4B62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39E2A3B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4C1B92B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3DFF82DD">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DDC6BBC">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1.施肥量0.75kg/株。</w:t>
            </w:r>
          </w:p>
          <w:p w14:paraId="6AB69F5F">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2.确保一树一坑，坑规格为:长20cm，宽20cm，深20cm，挖坑位置在树根的左侧或右侧 80-100cm处；追肥坑验收合格方可追肥。间伐株不追肥。</w:t>
            </w:r>
          </w:p>
          <w:p w14:paraId="2891989E">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3.施肥回坑。用定量器具量取 0.75kg肥料，均匀施放在坑的底部，现场管理员全面检查确认后方可回土；将表土回埋满坑，全部盖住肥料。</w:t>
            </w:r>
          </w:p>
          <w:p w14:paraId="7295BCD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4.必须有现场管理员全程跟踪检查，确保肥料足量到位。要求回收肥料包装袋，整理清点记录数量，确认后集中统一处理。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401DE6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927E6A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7B5B3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783E83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23681D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104825F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2331407">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default" w:ascii="宋体" w:hAnsi="宋体" w:eastAsia="宋体" w:cs="Times New Roman"/>
                <w:color w:val="auto"/>
                <w:szCs w:val="21"/>
                <w:highlight w:val="none"/>
                <w:lang w:val="en-US" w:eastAsia="zh-CN"/>
              </w:rPr>
              <w:t>362.4</w:t>
            </w:r>
          </w:p>
        </w:tc>
        <w:tc>
          <w:tcPr>
            <w:tcW w:w="1469" w:type="dxa"/>
            <w:tcBorders>
              <w:top w:val="single" w:color="000000" w:sz="4" w:space="0"/>
              <w:left w:val="nil"/>
              <w:bottom w:val="single" w:color="000000" w:sz="4" w:space="0"/>
              <w:right w:val="single" w:color="000000" w:sz="4" w:space="0"/>
            </w:tcBorders>
            <w:noWrap w:val="0"/>
            <w:vAlign w:val="center"/>
          </w:tcPr>
          <w:p w14:paraId="7970EFE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443921D1">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201244FA">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2ED8E3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19E7A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3967CE5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97C170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7D115E4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7C50150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5000</w:t>
            </w:r>
          </w:p>
        </w:tc>
        <w:tc>
          <w:tcPr>
            <w:tcW w:w="1469" w:type="dxa"/>
            <w:tcBorders>
              <w:top w:val="single" w:color="000000" w:sz="4" w:space="0"/>
              <w:left w:val="nil"/>
              <w:bottom w:val="single" w:color="000000" w:sz="4" w:space="0"/>
              <w:right w:val="single" w:color="000000" w:sz="4" w:space="0"/>
            </w:tcBorders>
            <w:noWrap w:val="0"/>
            <w:vAlign w:val="center"/>
          </w:tcPr>
          <w:p w14:paraId="7E4CDD5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F1A900D">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color w:val="auto"/>
                <w:kern w:val="0"/>
                <w:szCs w:val="21"/>
                <w:highlight w:val="none"/>
                <w:u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D23E889">
            <w:pPr>
              <w:keepNext w:val="0"/>
              <w:keepLines w:val="0"/>
              <w:widowControl/>
              <w:suppressLineNumbers w:val="0"/>
              <w:jc w:val="center"/>
              <w:textAlignment w:val="center"/>
              <w:rPr>
                <w:rFonts w:hint="eastAsia" w:ascii="等线" w:hAnsi="等线" w:eastAsia="宋体" w:cs="等线"/>
                <w:i w:val="0"/>
                <w:iCs w:val="0"/>
                <w:color w:val="auto"/>
                <w:sz w:val="20"/>
                <w:szCs w:val="20"/>
                <w:highlight w:val="none"/>
                <w:u w:val="none"/>
                <w:lang w:val="en-US" w:eastAsia="zh-CN"/>
              </w:rPr>
            </w:pPr>
            <w:r>
              <w:rPr>
                <w:rFonts w:hint="eastAsia"/>
                <w:color w:val="auto"/>
                <w:highlight w:val="none"/>
                <w:lang w:eastAsia="zh-CN"/>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C4E723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45349351">
      <w:pPr>
        <w:spacing w:line="560" w:lineRule="exact"/>
        <w:jc w:val="center"/>
        <w:rPr>
          <w:rFonts w:hint="eastAsia" w:ascii="仿宋_GB2312" w:hAnsi="宋体" w:eastAsia="仿宋_GB2312" w:cs="宋体"/>
          <w:b/>
          <w:bCs/>
          <w:color w:val="auto"/>
          <w:kern w:val="0"/>
          <w:sz w:val="44"/>
          <w:szCs w:val="44"/>
          <w:highlight w:val="none"/>
          <w:lang w:eastAsia="zh-CN"/>
        </w:rPr>
      </w:pPr>
    </w:p>
    <w:p w14:paraId="52BDF562">
      <w:pPr>
        <w:spacing w:line="560" w:lineRule="exact"/>
        <w:jc w:val="center"/>
        <w:rPr>
          <w:rFonts w:hint="eastAsia" w:ascii="仿宋_GB2312" w:hAnsi="宋体" w:eastAsia="仿宋_GB2312" w:cs="宋体"/>
          <w:b/>
          <w:bCs/>
          <w:color w:val="auto"/>
          <w:kern w:val="0"/>
          <w:sz w:val="44"/>
          <w:szCs w:val="44"/>
          <w:highlight w:val="none"/>
        </w:rPr>
      </w:pPr>
      <w:r>
        <w:rPr>
          <w:rFonts w:hint="eastAsia" w:ascii="仿宋_GB2312" w:hAnsi="宋体" w:eastAsia="仿宋_GB2312" w:cs="宋体"/>
          <w:b/>
          <w:bCs/>
          <w:color w:val="auto"/>
          <w:kern w:val="0"/>
          <w:sz w:val="44"/>
          <w:szCs w:val="44"/>
          <w:highlight w:val="none"/>
          <w:lang w:eastAsia="zh-CN"/>
        </w:rPr>
        <w:t>标项五</w:t>
      </w:r>
      <w:r>
        <w:rPr>
          <w:rFonts w:hint="eastAsia" w:ascii="仿宋_GB2312" w:hAnsi="宋体" w:eastAsia="仿宋_GB2312" w:cs="宋体"/>
          <w:b/>
          <w:bCs/>
          <w:color w:val="auto"/>
          <w:kern w:val="0"/>
          <w:sz w:val="44"/>
          <w:szCs w:val="44"/>
          <w:highlight w:val="none"/>
        </w:rPr>
        <w:t>林地信息和施工工序信息表</w:t>
      </w:r>
    </w:p>
    <w:tbl>
      <w:tblPr>
        <w:tblStyle w:val="9"/>
        <w:tblpPr w:leftFromText="180" w:rightFromText="180" w:vertAnchor="text" w:horzAnchor="page" w:tblpX="1054" w:tblpY="295"/>
        <w:tblOverlap w:val="never"/>
        <w:tblW w:w="15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
        <w:gridCol w:w="1550"/>
        <w:gridCol w:w="1226"/>
        <w:gridCol w:w="1613"/>
        <w:gridCol w:w="1469"/>
        <w:gridCol w:w="5895"/>
        <w:gridCol w:w="1980"/>
        <w:gridCol w:w="750"/>
      </w:tblGrid>
      <w:tr w14:paraId="5069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3DBDF6D">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538539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工序</w:t>
            </w:r>
          </w:p>
        </w:tc>
        <w:tc>
          <w:tcPr>
            <w:tcW w:w="1226" w:type="dxa"/>
            <w:tcBorders>
              <w:top w:val="single" w:color="000000" w:sz="4" w:space="0"/>
              <w:left w:val="single" w:color="000000" w:sz="4" w:space="0"/>
              <w:bottom w:val="nil"/>
              <w:right w:val="single" w:color="000000" w:sz="4" w:space="0"/>
            </w:tcBorders>
            <w:noWrap w:val="0"/>
            <w:vAlign w:val="center"/>
          </w:tcPr>
          <w:p w14:paraId="0810374E">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施工区域</w:t>
            </w:r>
          </w:p>
        </w:tc>
        <w:tc>
          <w:tcPr>
            <w:tcW w:w="1613" w:type="dxa"/>
            <w:tcBorders>
              <w:top w:val="single" w:color="000000" w:sz="4" w:space="0"/>
              <w:left w:val="single" w:color="000000" w:sz="4" w:space="0"/>
              <w:bottom w:val="nil"/>
              <w:right w:val="single" w:color="000000" w:sz="4" w:space="0"/>
            </w:tcBorders>
            <w:noWrap w:val="0"/>
            <w:vAlign w:val="center"/>
          </w:tcPr>
          <w:p w14:paraId="34C3312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面积（亩）</w:t>
            </w:r>
          </w:p>
          <w:p w14:paraId="2F3F6305">
            <w:pPr>
              <w:keepNext w:val="0"/>
              <w:keepLines w:val="0"/>
              <w:widowControl/>
              <w:suppressLineNumbers w:val="0"/>
              <w:jc w:val="center"/>
              <w:textAlignment w:val="center"/>
              <w:rPr>
                <w:rFonts w:hint="default" w:ascii="黑体" w:hAnsi="宋体" w:eastAsia="黑体" w:cs="黑体"/>
                <w:i w:val="0"/>
                <w:iCs w:val="0"/>
                <w:color w:val="auto"/>
                <w:sz w:val="24"/>
                <w:szCs w:val="24"/>
                <w:highlight w:val="none"/>
                <w:u w:val="none"/>
                <w:lang w:val="en-US" w:eastAsia="zh-CN"/>
              </w:rPr>
            </w:pPr>
            <w:r>
              <w:rPr>
                <w:rFonts w:hint="eastAsia" w:ascii="黑体" w:hAnsi="宋体" w:eastAsia="黑体" w:cs="黑体"/>
                <w:i w:val="0"/>
                <w:iCs w:val="0"/>
                <w:color w:val="auto"/>
                <w:sz w:val="24"/>
                <w:szCs w:val="24"/>
                <w:highlight w:val="none"/>
                <w:u w:val="none"/>
                <w:lang w:val="en-US" w:eastAsia="zh-CN"/>
              </w:rPr>
              <w:t>数量（吨）</w:t>
            </w:r>
          </w:p>
        </w:tc>
        <w:tc>
          <w:tcPr>
            <w:tcW w:w="1469" w:type="dxa"/>
            <w:tcBorders>
              <w:top w:val="single" w:color="000000" w:sz="4" w:space="0"/>
              <w:left w:val="single" w:color="000000" w:sz="4" w:space="0"/>
              <w:bottom w:val="nil"/>
              <w:right w:val="single" w:color="000000" w:sz="4" w:space="0"/>
            </w:tcBorders>
            <w:noWrap w:val="0"/>
            <w:vAlign w:val="center"/>
          </w:tcPr>
          <w:p w14:paraId="1E612D7C">
            <w:pPr>
              <w:keepNext w:val="0"/>
              <w:keepLines w:val="0"/>
              <w:widowControl/>
              <w:suppressLineNumbers w:val="0"/>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单价</w:t>
            </w:r>
          </w:p>
          <w:p w14:paraId="54DDD0E3">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（元/亩、吨）</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6461A49E">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技术规程要求及说明</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552D5387">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计划竣工时间</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B6AA381">
            <w:pPr>
              <w:keepNext w:val="0"/>
              <w:keepLines w:val="0"/>
              <w:widowControl/>
              <w:suppressLineNumbers w:val="0"/>
              <w:jc w:val="center"/>
              <w:textAlignment w:val="center"/>
              <w:rPr>
                <w:rFonts w:hint="default"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备注</w:t>
            </w:r>
          </w:p>
        </w:tc>
      </w:tr>
      <w:tr w14:paraId="04F7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EE1778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322836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割灌除草抚育</w:t>
            </w:r>
          </w:p>
        </w:tc>
        <w:tc>
          <w:tcPr>
            <w:tcW w:w="1226" w:type="dxa"/>
            <w:vMerge w:val="restart"/>
            <w:tcBorders>
              <w:top w:val="single" w:color="000000" w:sz="4" w:space="0"/>
              <w:left w:val="single" w:color="000000" w:sz="4" w:space="0"/>
              <w:right w:val="single" w:color="000000" w:sz="4" w:space="0"/>
            </w:tcBorders>
            <w:noWrap w:val="0"/>
            <w:vAlign w:val="center"/>
          </w:tcPr>
          <w:p w14:paraId="404D318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rPr>
              <w:t>河池市天峨县下老乡纳明村1经营林班、河池市天峨县向阳镇党隘村4经营林班、河池市天峨县向阳镇党隘村6经营林班、河池市天峨县向阳镇党隘村8经营林班</w:t>
            </w: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1FDDBA9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23784BFB">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80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3CA4DA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将林地上的杂草、杂灌、藤类等植物全部清除，留存高度不得超过 20cm。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0B808557">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E4ED79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p>
        </w:tc>
      </w:tr>
      <w:tr w14:paraId="7544C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18A713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0C4481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标记采伐木</w:t>
            </w:r>
          </w:p>
        </w:tc>
        <w:tc>
          <w:tcPr>
            <w:tcW w:w="1226" w:type="dxa"/>
            <w:vMerge w:val="continue"/>
            <w:tcBorders>
              <w:left w:val="single" w:color="000000" w:sz="4" w:space="0"/>
              <w:right w:val="single" w:color="000000" w:sz="4" w:space="0"/>
            </w:tcBorders>
            <w:noWrap w:val="0"/>
            <w:vAlign w:val="center"/>
          </w:tcPr>
          <w:p w14:paraId="7375E4C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7B6C937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0BE924C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20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5E80CF95">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费用包括人工费、材料费。按照“去劣留优、去小留大、去密留匀、去弯留直、去双留单，不得砍出天窗”等基本要求，对每个作业小班的Ⅲ级木（必要时）、Ⅳ级木、Ⅴ级木进行标号，检查合格后才能施工采伐，严禁边标号边采伐。</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FF035A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EF43C9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3C21A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46CFDB3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8414243">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间伐</w:t>
            </w:r>
          </w:p>
        </w:tc>
        <w:tc>
          <w:tcPr>
            <w:tcW w:w="1226" w:type="dxa"/>
            <w:vMerge w:val="continue"/>
            <w:tcBorders>
              <w:left w:val="single" w:color="000000" w:sz="4" w:space="0"/>
              <w:right w:val="single" w:color="000000" w:sz="4" w:space="0"/>
            </w:tcBorders>
            <w:noWrap w:val="0"/>
            <w:vAlign w:val="center"/>
          </w:tcPr>
          <w:p w14:paraId="36B8B6A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ign w:val="center"/>
          </w:tcPr>
          <w:p w14:paraId="72A994F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single" w:color="000000" w:sz="4" w:space="0"/>
              <w:bottom w:val="nil"/>
              <w:right w:val="single" w:color="000000" w:sz="4" w:space="0"/>
            </w:tcBorders>
            <w:noWrap/>
            <w:vAlign w:val="center"/>
          </w:tcPr>
          <w:p w14:paraId="0A9D2A6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eastAsia" w:ascii="等线" w:hAnsi="等线" w:eastAsia="等线" w:cs="等线"/>
                <w:i w:val="0"/>
                <w:iCs w:val="0"/>
                <w:color w:val="auto"/>
                <w:sz w:val="20"/>
                <w:szCs w:val="20"/>
                <w:highlight w:val="none"/>
                <w:u w:val="none"/>
                <w:lang w:val="en-US" w:eastAsia="zh-CN"/>
              </w:rPr>
              <w:t>50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CA5D9A5">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伐倒标记木，不错砍、不漏砍，尽量降低伐根，伐桩上方高度不超过10cm。</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BBE7DB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AC502A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406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017D15E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1711BD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r>
              <w:rPr>
                <w:rFonts w:hint="default" w:ascii="等线" w:hAnsi="等线" w:eastAsia="等线" w:cs="等线"/>
                <w:i w:val="0"/>
                <w:iCs w:val="0"/>
                <w:color w:val="auto"/>
                <w:sz w:val="20"/>
                <w:szCs w:val="20"/>
                <w:highlight w:val="none"/>
                <w:u w:val="none"/>
                <w:lang w:val="en-US" w:eastAsia="zh-CN"/>
              </w:rPr>
              <w:t>造材</w:t>
            </w:r>
          </w:p>
        </w:tc>
        <w:tc>
          <w:tcPr>
            <w:tcW w:w="1226" w:type="dxa"/>
            <w:vMerge w:val="continue"/>
            <w:tcBorders>
              <w:left w:val="single" w:color="000000" w:sz="4" w:space="0"/>
              <w:right w:val="single" w:color="000000" w:sz="4" w:space="0"/>
            </w:tcBorders>
            <w:noWrap w:val="0"/>
            <w:vAlign w:val="center"/>
          </w:tcPr>
          <w:p w14:paraId="1E12688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7FFAA63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10332CE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rPr>
            </w:pPr>
            <w:r>
              <w:rPr>
                <w:rFonts w:hint="eastAsia" w:ascii="等线" w:hAnsi="等线" w:eastAsia="等线" w:cs="等线"/>
                <w:i w:val="0"/>
                <w:iCs w:val="0"/>
                <w:color w:val="auto"/>
                <w:sz w:val="20"/>
                <w:szCs w:val="20"/>
                <w:highlight w:val="none"/>
                <w:u w:val="none"/>
                <w:lang w:val="en-US" w:eastAsia="zh-CN"/>
              </w:rPr>
              <w:t>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3A6D758E">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1.对伐倒木进行打枝作业，从伐倒木的根部向梢部方向将枝丫砍除要求不损伤木质部。</w:t>
            </w:r>
          </w:p>
          <w:p w14:paraId="23EE18C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2.对尾径≥6cm的伐倒木制成2m/节。</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42F2E97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69D541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6D10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179573A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05AFED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集材、清理运输采伐剩余物</w:t>
            </w:r>
          </w:p>
        </w:tc>
        <w:tc>
          <w:tcPr>
            <w:tcW w:w="1226" w:type="dxa"/>
            <w:vMerge w:val="continue"/>
            <w:tcBorders>
              <w:left w:val="single" w:color="000000" w:sz="4" w:space="0"/>
              <w:right w:val="single" w:color="000000" w:sz="4" w:space="0"/>
            </w:tcBorders>
            <w:noWrap w:val="0"/>
            <w:vAlign w:val="center"/>
          </w:tcPr>
          <w:p w14:paraId="6C00F4F0">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3969B38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04FC48C2">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160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13B1FA4C">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1.将整个作业区尾径大于6cm的木材归集到林道边指定地点。</w:t>
            </w:r>
          </w:p>
          <w:p w14:paraId="34EA04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2.对伐区造材剩余的枝丫及杂灌木等能利用的其他剩余物运离山场加以利用，每公顷丢弃木材不超过0.5m³。树叶、藤蔓及杂草等平铺或者按一定间距均匀堆放在林分内。</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3B6E062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9F37F85">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43C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72C8F71">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D6BF602">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追肥</w:t>
            </w:r>
          </w:p>
        </w:tc>
        <w:tc>
          <w:tcPr>
            <w:tcW w:w="1226" w:type="dxa"/>
            <w:vMerge w:val="continue"/>
            <w:tcBorders>
              <w:left w:val="single" w:color="000000" w:sz="4" w:space="0"/>
              <w:right w:val="single" w:color="000000" w:sz="4" w:space="0"/>
            </w:tcBorders>
            <w:noWrap w:val="0"/>
            <w:vAlign w:val="center"/>
          </w:tcPr>
          <w:p w14:paraId="4AB5E1C6">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6EC4324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7E7979BB">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110</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F0311A9">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1.施肥量0.75kg/株。</w:t>
            </w:r>
          </w:p>
          <w:p w14:paraId="43CCE0C0">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2.确保一树一坑，坑规格为:长20cm，宽20cm，深20cm，挖坑位置在树根的左侧或右侧 80-100cm处；追肥坑验收合格方可追肥。间伐株不追肥。</w:t>
            </w:r>
          </w:p>
          <w:p w14:paraId="20F0907D">
            <w:pPr>
              <w:keepNext w:val="0"/>
              <w:keepLines w:val="0"/>
              <w:widowControl/>
              <w:suppressLineNumbers w:val="0"/>
              <w:jc w:val="left"/>
              <w:textAlignment w:val="center"/>
              <w:rPr>
                <w:rFonts w:hint="eastAsia" w:ascii="宋体" w:hAnsi="宋体" w:eastAsia="宋体" w:cs="宋体"/>
                <w:color w:val="auto"/>
                <w:kern w:val="0"/>
                <w:szCs w:val="21"/>
                <w:highlight w:val="none"/>
                <w:u w:val="none"/>
                <w:lang w:bidi="ar"/>
              </w:rPr>
            </w:pPr>
            <w:r>
              <w:rPr>
                <w:rFonts w:hint="eastAsia" w:ascii="宋体" w:hAnsi="宋体" w:eastAsia="宋体" w:cs="宋体"/>
                <w:color w:val="auto"/>
                <w:kern w:val="0"/>
                <w:szCs w:val="21"/>
                <w:highlight w:val="none"/>
                <w:u w:val="none"/>
                <w:lang w:bidi="ar"/>
              </w:rPr>
              <w:t>3.施肥回坑。用定量器具量取 0.75kg肥料，均匀施放在坑的底部，现场管理员全面检查确认后方可回土；将表土回埋满坑，全部盖住肥料。</w:t>
            </w:r>
          </w:p>
          <w:p w14:paraId="180C5A5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u w:val="none"/>
                <w:lang w:bidi="ar"/>
              </w:rPr>
              <w:t>4.必须有现场管理员全程跟踪检查，确保肥料足量到位。要求回收肥料包装袋，整理清点记录数量，确认后集中统一处理。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3072A5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8CF1E6C">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4E98D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7FB55159">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403373C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肥料短途运输、装卸</w:t>
            </w:r>
          </w:p>
        </w:tc>
        <w:tc>
          <w:tcPr>
            <w:tcW w:w="1226" w:type="dxa"/>
            <w:vMerge w:val="continue"/>
            <w:tcBorders>
              <w:left w:val="single" w:color="000000" w:sz="4" w:space="0"/>
              <w:right w:val="single" w:color="000000" w:sz="4" w:space="0"/>
            </w:tcBorders>
            <w:noWrap w:val="0"/>
            <w:vAlign w:val="center"/>
          </w:tcPr>
          <w:p w14:paraId="56FC5AB4">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24E9CC65">
            <w:pPr>
              <w:keepNext w:val="0"/>
              <w:keepLines w:val="0"/>
              <w:widowControl/>
              <w:suppressLineNumbers w:val="0"/>
              <w:jc w:val="center"/>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712.8</w:t>
            </w:r>
          </w:p>
        </w:tc>
        <w:tc>
          <w:tcPr>
            <w:tcW w:w="1469" w:type="dxa"/>
            <w:tcBorders>
              <w:top w:val="single" w:color="000000" w:sz="4" w:space="0"/>
              <w:left w:val="nil"/>
              <w:bottom w:val="single" w:color="000000" w:sz="4" w:space="0"/>
              <w:right w:val="single" w:color="000000" w:sz="4" w:space="0"/>
            </w:tcBorders>
            <w:noWrap w:val="0"/>
            <w:vAlign w:val="center"/>
          </w:tcPr>
          <w:p w14:paraId="38ACD877">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13.5</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74ECA80F">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肥料运输、装卸费（含临时仓储费、装卸费）</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D8EB92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CB824A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r w14:paraId="2BAC1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72" w:type="dxa"/>
            <w:tcBorders>
              <w:top w:val="single" w:color="000000" w:sz="4" w:space="0"/>
              <w:left w:val="single" w:color="000000" w:sz="4" w:space="0"/>
              <w:bottom w:val="single" w:color="000000" w:sz="4" w:space="0"/>
              <w:right w:val="single" w:color="000000" w:sz="4" w:space="0"/>
            </w:tcBorders>
            <w:noWrap w:val="0"/>
            <w:vAlign w:val="center"/>
          </w:tcPr>
          <w:p w14:paraId="56E4F1CF">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013200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default" w:ascii="等线" w:hAnsi="等线" w:eastAsia="等线" w:cs="等线"/>
                <w:i w:val="0"/>
                <w:iCs w:val="0"/>
                <w:color w:val="auto"/>
                <w:sz w:val="20"/>
                <w:szCs w:val="20"/>
                <w:highlight w:val="none"/>
                <w:u w:val="none"/>
                <w:lang w:val="en-US" w:eastAsia="zh-CN"/>
              </w:rPr>
              <w:t>维修林路</w:t>
            </w:r>
          </w:p>
        </w:tc>
        <w:tc>
          <w:tcPr>
            <w:tcW w:w="1226" w:type="dxa"/>
            <w:vMerge w:val="continue"/>
            <w:tcBorders>
              <w:left w:val="single" w:color="000000" w:sz="4" w:space="0"/>
              <w:bottom w:val="single" w:color="000000" w:sz="4" w:space="0"/>
              <w:right w:val="single" w:color="000000" w:sz="4" w:space="0"/>
            </w:tcBorders>
            <w:noWrap w:val="0"/>
            <w:vAlign w:val="center"/>
          </w:tcPr>
          <w:p w14:paraId="44481BDA">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c>
          <w:tcPr>
            <w:tcW w:w="1613" w:type="dxa"/>
            <w:tcBorders>
              <w:top w:val="single" w:color="000000" w:sz="4" w:space="0"/>
              <w:left w:val="single" w:color="000000" w:sz="4" w:space="0"/>
              <w:bottom w:val="single" w:color="000000" w:sz="4" w:space="0"/>
              <w:right w:val="single" w:color="000000" w:sz="4" w:space="0"/>
            </w:tcBorders>
            <w:noWrap w:val="0"/>
            <w:vAlign w:val="center"/>
          </w:tcPr>
          <w:p w14:paraId="5085AC2E">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宋体" w:hAnsi="宋体" w:eastAsia="宋体" w:cs="Times New Roman"/>
                <w:color w:val="auto"/>
                <w:szCs w:val="21"/>
                <w:highlight w:val="none"/>
                <w:lang w:val="en-US" w:eastAsia="zh-CN"/>
              </w:rPr>
              <w:t>12900米</w:t>
            </w:r>
          </w:p>
        </w:tc>
        <w:tc>
          <w:tcPr>
            <w:tcW w:w="1469" w:type="dxa"/>
            <w:tcBorders>
              <w:top w:val="single" w:color="000000" w:sz="4" w:space="0"/>
              <w:left w:val="nil"/>
              <w:bottom w:val="single" w:color="000000" w:sz="4" w:space="0"/>
              <w:right w:val="single" w:color="000000" w:sz="4" w:space="0"/>
            </w:tcBorders>
            <w:noWrap w:val="0"/>
            <w:vAlign w:val="center"/>
          </w:tcPr>
          <w:p w14:paraId="30085A18">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lang w:val="en-US" w:eastAsia="zh-CN"/>
              </w:rPr>
            </w:pPr>
            <w:r>
              <w:rPr>
                <w:rFonts w:hint="eastAsia" w:ascii="等线" w:hAnsi="等线" w:eastAsia="等线" w:cs="等线"/>
                <w:i w:val="0"/>
                <w:iCs w:val="0"/>
                <w:color w:val="auto"/>
                <w:sz w:val="20"/>
                <w:szCs w:val="20"/>
                <w:highlight w:val="none"/>
                <w:u w:val="none"/>
                <w:lang w:val="en-US" w:eastAsia="zh-CN"/>
              </w:rPr>
              <w:t>3元/米</w:t>
            </w:r>
          </w:p>
        </w:tc>
        <w:tc>
          <w:tcPr>
            <w:tcW w:w="5895" w:type="dxa"/>
            <w:tcBorders>
              <w:top w:val="single" w:color="000000" w:sz="4" w:space="0"/>
              <w:left w:val="single" w:color="000000" w:sz="4" w:space="0"/>
              <w:bottom w:val="single" w:color="000000" w:sz="4" w:space="0"/>
              <w:right w:val="single" w:color="000000" w:sz="4" w:space="0"/>
            </w:tcBorders>
            <w:noWrap w:val="0"/>
            <w:vAlign w:val="center"/>
          </w:tcPr>
          <w:p w14:paraId="0A8D2625">
            <w:pPr>
              <w:keepNext w:val="0"/>
              <w:keepLines w:val="0"/>
              <w:widowControl/>
              <w:suppressLineNumbers w:val="0"/>
              <w:jc w:val="left"/>
              <w:textAlignment w:val="center"/>
              <w:rPr>
                <w:rFonts w:hint="eastAsia" w:ascii="等线" w:hAnsi="等线" w:eastAsia="等线" w:cs="等线"/>
                <w:i w:val="0"/>
                <w:iCs w:val="0"/>
                <w:color w:val="auto"/>
                <w:sz w:val="20"/>
                <w:szCs w:val="20"/>
                <w:highlight w:val="none"/>
                <w:u w:val="none"/>
                <w:lang w:val="en-US" w:eastAsia="zh-CN"/>
              </w:rPr>
            </w:pPr>
            <w:r>
              <w:rPr>
                <w:rFonts w:hint="eastAsia" w:ascii="宋体" w:hAnsi="宋体" w:eastAsia="宋体" w:cs="宋体"/>
                <w:color w:val="auto"/>
                <w:kern w:val="0"/>
                <w:szCs w:val="21"/>
                <w:highlight w:val="none"/>
                <w:u w:val="none"/>
                <w:lang w:bidi="ar"/>
              </w:rPr>
              <w:t>按实际维修长度、以3元/米结算，</w:t>
            </w:r>
            <w:r>
              <w:rPr>
                <w:rFonts w:hint="eastAsia" w:ascii="宋体" w:hAnsi="宋体" w:eastAsia="宋体" w:cs="宋体"/>
                <w:i w:val="0"/>
                <w:iCs w:val="0"/>
                <w:color w:val="auto"/>
                <w:kern w:val="0"/>
                <w:sz w:val="21"/>
                <w:szCs w:val="21"/>
                <w:highlight w:val="none"/>
                <w:u w:val="none"/>
                <w:lang w:val="en-US" w:eastAsia="zh-CN" w:bidi="ar"/>
              </w:rPr>
              <w:t>实施前须报营林部核准。</w:t>
            </w:r>
          </w:p>
        </w:tc>
        <w:tc>
          <w:tcPr>
            <w:tcW w:w="1980" w:type="dxa"/>
            <w:tcBorders>
              <w:top w:val="single" w:color="000000" w:sz="4" w:space="0"/>
              <w:left w:val="single" w:color="000000" w:sz="4" w:space="0"/>
              <w:bottom w:val="single" w:color="000000" w:sz="4" w:space="0"/>
              <w:right w:val="single" w:color="000000" w:sz="4" w:space="0"/>
            </w:tcBorders>
            <w:noWrap w:val="0"/>
            <w:vAlign w:val="center"/>
          </w:tcPr>
          <w:p w14:paraId="1C24588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2026年12月10日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01DB85D">
            <w:pPr>
              <w:keepNext w:val="0"/>
              <w:keepLines w:val="0"/>
              <w:widowControl/>
              <w:suppressLineNumbers w:val="0"/>
              <w:jc w:val="center"/>
              <w:textAlignment w:val="center"/>
              <w:rPr>
                <w:rFonts w:hint="default" w:ascii="等线" w:hAnsi="等线" w:eastAsia="等线" w:cs="等线"/>
                <w:i w:val="0"/>
                <w:iCs w:val="0"/>
                <w:color w:val="auto"/>
                <w:sz w:val="20"/>
                <w:szCs w:val="20"/>
                <w:highlight w:val="none"/>
                <w:u w:val="none"/>
              </w:rPr>
            </w:pPr>
          </w:p>
        </w:tc>
      </w:tr>
    </w:tbl>
    <w:p w14:paraId="199035CE">
      <w:pPr>
        <w:snapToGrid w:val="0"/>
        <w:jc w:val="center"/>
        <w:rPr>
          <w:rFonts w:hint="eastAsia" w:ascii="宋体" w:hAnsi="宋体"/>
          <w:color w:val="auto"/>
          <w:sz w:val="30"/>
          <w:szCs w:val="30"/>
          <w:highlight w:val="none"/>
        </w:rPr>
        <w:sectPr>
          <w:footerReference r:id="rId6" w:type="default"/>
          <w:pgSz w:w="16838" w:h="11906" w:orient="landscape"/>
          <w:pgMar w:top="1134" w:right="992" w:bottom="1134" w:left="992" w:header="851" w:footer="992" w:gutter="0"/>
          <w:pgNumType w:fmt="decimal" w:start="11"/>
          <w:cols w:space="720" w:num="1"/>
          <w:docGrid w:type="lines" w:linePitch="312" w:charSpace="0"/>
        </w:sectPr>
      </w:pPr>
    </w:p>
    <w:p w14:paraId="38F2BB27">
      <w:pPr>
        <w:jc w:val="both"/>
        <w:rPr>
          <w:rFonts w:hint="eastAsia"/>
          <w:color w:val="auto"/>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7756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3CCAA2">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23CCAA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31096">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A3A7B7">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DA3A7B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84E2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DEBEDD">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9DEBED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993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734217">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73421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4BA394"/>
    <w:multiLevelType w:val="singleLevel"/>
    <w:tmpl w:val="D04BA394"/>
    <w:lvl w:ilvl="0" w:tentative="0">
      <w:start w:val="1"/>
      <w:numFmt w:val="decimal"/>
      <w:lvlText w:val="%1."/>
      <w:lvlJc w:val="left"/>
      <w:pPr>
        <w:ind w:left="425" w:hanging="425"/>
      </w:pPr>
      <w:rPr>
        <w:rFonts w:hint="default"/>
      </w:rPr>
    </w:lvl>
  </w:abstractNum>
  <w:abstractNum w:abstractNumId="1">
    <w:nsid w:val="D321C31B"/>
    <w:multiLevelType w:val="singleLevel"/>
    <w:tmpl w:val="D321C31B"/>
    <w:lvl w:ilvl="0" w:tentative="0">
      <w:start w:val="2"/>
      <w:numFmt w:val="chineseCounting"/>
      <w:suff w:val="space"/>
      <w:lvlText w:val="第%1章"/>
      <w:lvlJc w:val="left"/>
      <w:rPr>
        <w:rFonts w:hint="eastAsia"/>
      </w:rPr>
    </w:lvl>
  </w:abstractNum>
  <w:abstractNum w:abstractNumId="2">
    <w:nsid w:val="EA72FA51"/>
    <w:multiLevelType w:val="singleLevel"/>
    <w:tmpl w:val="EA72FA51"/>
    <w:lvl w:ilvl="0" w:tentative="0">
      <w:start w:val="1"/>
      <w:numFmt w:val="decimal"/>
      <w:lvlText w:val="(%1)"/>
      <w:lvlJc w:val="left"/>
      <w:pPr>
        <w:ind w:left="425" w:hanging="425"/>
      </w:pPr>
      <w:rPr>
        <w:rFonts w:hint="default"/>
      </w:rPr>
    </w:lvl>
  </w:abstractNum>
  <w:abstractNum w:abstractNumId="3">
    <w:nsid w:val="5C599508"/>
    <w:multiLevelType w:val="singleLevel"/>
    <w:tmpl w:val="5C599508"/>
    <w:lvl w:ilvl="0" w:tentative="0">
      <w:start w:val="4"/>
      <w:numFmt w:val="chineseCounting"/>
      <w:suff w:val="space"/>
      <w:lvlText w:val="第%1条"/>
      <w:lvlJc w:val="left"/>
      <w:rPr>
        <w:rFonts w:hint="eastAsia"/>
      </w:rPr>
    </w:lvl>
  </w:abstractNum>
  <w:abstractNum w:abstractNumId="4">
    <w:nsid w:val="7DE10360"/>
    <w:multiLevelType w:val="singleLevel"/>
    <w:tmpl w:val="7DE10360"/>
    <w:lvl w:ilvl="0" w:tentative="0">
      <w:start w:val="1"/>
      <w:numFmt w:val="decimal"/>
      <w:lvlText w:val="(%1)"/>
      <w:lvlJc w:val="left"/>
      <w:pPr>
        <w:ind w:left="425" w:hanging="425"/>
      </w:pPr>
      <w:rPr>
        <w:rFont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871FC9"/>
    <w:rsid w:val="01F86CD9"/>
    <w:rsid w:val="02B53C73"/>
    <w:rsid w:val="041C1A81"/>
    <w:rsid w:val="1A546EC7"/>
    <w:rsid w:val="1A845156"/>
    <w:rsid w:val="21AE64FA"/>
    <w:rsid w:val="21EF7359"/>
    <w:rsid w:val="40871FC9"/>
    <w:rsid w:val="4B9C1A50"/>
    <w:rsid w:val="4C003D8D"/>
    <w:rsid w:val="4F8C3B89"/>
    <w:rsid w:val="51CD6957"/>
    <w:rsid w:val="608C5797"/>
    <w:rsid w:val="63CD05A1"/>
    <w:rsid w:val="64322AF9"/>
    <w:rsid w:val="66E04A8F"/>
    <w:rsid w:val="77422BFC"/>
    <w:rsid w:val="7B226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customStyle="1" w:styleId="4">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5">
    <w:name w:val="Plain Text"/>
    <w:basedOn w:val="1"/>
    <w:qFormat/>
    <w:uiPriority w:val="0"/>
    <w:rPr>
      <w:rFonts w:ascii="宋体" w:hAnsi="Courier New"/>
      <w:kern w:val="0"/>
      <w:sz w:val="20"/>
      <w:szCs w:val="21"/>
    </w:r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ind w:firstLine="420" w:firstLineChars="100"/>
    </w:pPr>
  </w:style>
  <w:style w:type="table" w:styleId="10">
    <w:name w:val="Table Grid"/>
    <w:basedOn w:val="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591</Words>
  <Characters>646</Characters>
  <Lines>0</Lines>
  <Paragraphs>0</Paragraphs>
  <TotalTime>1</TotalTime>
  <ScaleCrop>false</ScaleCrop>
  <LinksUpToDate>false</LinksUpToDate>
  <CharactersWithSpaces>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2026-06-12T09:31:00Z</dcterms:created>
  <dc:creator>林子馨</dc:creator>
  <cp:lastModifiedBy>招标代理</cp:lastModifiedBy>
  <dcterms:modified xsi:type="dcterms:W3CDTF">2026-09-30T03:02:07Z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8F00B903779244D5937A39BD8177CCFD_11</vt:lpwstr>
  </property>
  <property fmtid="{D5CDD505-2E9C-101B-9397-08002B2CF9AE}" pid="4" name="KSOTemplateDocerSaveRecord">
    <vt:lpwstr>eyJoZGlkIjoiNjVhYjFjNDczOTdjZDY4MWNhZDBhYjFkMTdmZTllMDUiLCJ1c2VySWQiOiI1Mzc0MDc3MTAifQ==</vt:lpwstr>
  </property>
</Properties>
</file>